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A034" w14:textId="77777777" w:rsidR="005D7889" w:rsidRDefault="005D7889" w:rsidP="00750262">
      <w:pPr>
        <w:rPr>
          <w:rFonts w:ascii="Arial" w:hAnsi="Arial" w:cs="Arial"/>
          <w:b/>
          <w:bCs/>
        </w:rPr>
      </w:pPr>
    </w:p>
    <w:p w14:paraId="2BA731A8" w14:textId="2A70C1E2" w:rsidR="00900957" w:rsidRPr="00105E79" w:rsidRDefault="00E159F9" w:rsidP="00750262">
      <w:pPr>
        <w:rPr>
          <w:rFonts w:ascii="Arial" w:hAnsi="Arial" w:cs="Arial"/>
          <w:b/>
          <w:bCs/>
        </w:rPr>
      </w:pPr>
      <w:r w:rsidRPr="00E159F9">
        <w:rPr>
          <w:rFonts w:ascii="Arial" w:hAnsi="Arial" w:cs="Arial"/>
          <w:b/>
          <w:bCs/>
          <w:noProof/>
          <w:lang w:eastAsia="da-DK"/>
        </w:rPr>
        <mc:AlternateContent>
          <mc:Choice Requires="wps">
            <w:drawing>
              <wp:anchor distT="45720" distB="45720" distL="114300" distR="114300" simplePos="0" relativeHeight="251659264" behindDoc="0" locked="0" layoutInCell="1" allowOverlap="1" wp14:anchorId="07A4F238" wp14:editId="5B80D248">
                <wp:simplePos x="0" y="0"/>
                <wp:positionH relativeFrom="column">
                  <wp:posOffset>4861560</wp:posOffset>
                </wp:positionH>
                <wp:positionV relativeFrom="paragraph">
                  <wp:posOffset>-3810</wp:posOffset>
                </wp:positionV>
                <wp:extent cx="1724025" cy="342900"/>
                <wp:effectExtent l="0" t="0" r="28575" b="1905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solidFill>
                          <a:srgbClr val="FFFFFF"/>
                        </a:solidFill>
                        <a:ln w="9525">
                          <a:solidFill>
                            <a:schemeClr val="bg1"/>
                          </a:solidFill>
                          <a:miter lim="800000"/>
                          <a:headEnd/>
                          <a:tailEnd/>
                        </a:ln>
                      </wps:spPr>
                      <wps:txbx>
                        <w:txbxContent>
                          <w:p w14:paraId="2083356D" w14:textId="691041BA" w:rsidR="00E159F9" w:rsidRPr="00E159F9" w:rsidRDefault="005D7889">
                            <w:pPr>
                              <w:rPr>
                                <w:rFonts w:ascii="Arial" w:hAnsi="Arial" w:cs="Arial"/>
                                <w:sz w:val="20"/>
                                <w:szCs w:val="20"/>
                              </w:rPr>
                            </w:pPr>
                            <w:r>
                              <w:rPr>
                                <w:rFonts w:ascii="Arial" w:hAnsi="Arial" w:cs="Arial"/>
                                <w:sz w:val="20"/>
                                <w:szCs w:val="20"/>
                              </w:rPr>
                              <w:t>23</w:t>
                            </w:r>
                            <w:r w:rsidR="00E159F9" w:rsidRPr="00E159F9">
                              <w:rPr>
                                <w:rFonts w:ascii="Arial" w:hAnsi="Arial" w:cs="Arial"/>
                                <w:sz w:val="20"/>
                                <w:szCs w:val="20"/>
                              </w:rPr>
                              <w:t xml:space="preserve">. </w:t>
                            </w:r>
                            <w:r w:rsidR="00B26F41">
                              <w:rPr>
                                <w:rFonts w:ascii="Arial" w:hAnsi="Arial" w:cs="Arial"/>
                                <w:sz w:val="20"/>
                                <w:szCs w:val="20"/>
                              </w:rPr>
                              <w:t>marts</w:t>
                            </w:r>
                            <w:r w:rsidR="004277BA">
                              <w:rPr>
                                <w:rFonts w:ascii="Arial" w:hAnsi="Arial" w:cs="Arial"/>
                                <w:sz w:val="20"/>
                                <w:szCs w:val="20"/>
                              </w:rPr>
                              <w:t xml:space="preserve"> </w:t>
                            </w:r>
                            <w:r w:rsidR="00E159F9" w:rsidRPr="00E159F9">
                              <w:rPr>
                                <w:rFonts w:ascii="Arial" w:hAnsi="Arial" w:cs="Arial"/>
                                <w:sz w:val="20"/>
                                <w:szCs w:val="20"/>
                              </w:rPr>
                              <w:t>202</w:t>
                            </w:r>
                            <w:r w:rsidR="004277BA">
                              <w:rPr>
                                <w:rFonts w:ascii="Arial" w:hAnsi="Arial" w:cs="Arial"/>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4F238" id="_x0000_t202" coordsize="21600,21600" o:spt="202" path="m,l,21600r21600,l21600,xe">
                <v:stroke joinstyle="miter"/>
                <v:path gradientshapeok="t" o:connecttype="rect"/>
              </v:shapetype>
              <v:shape id="Tekstfelt 2" o:spid="_x0000_s1026" type="#_x0000_t202" style="position:absolute;margin-left:382.8pt;margin-top:-.3pt;width:135.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" strokecolor="white [3212]">
                <v:textbox>
                  <w:txbxContent>
                    <w:p w14:paraId="2083356D" w14:textId="691041BA" w:rsidR="00E159F9" w:rsidRPr="00E159F9" w:rsidRDefault="005D7889">
                      <w:pPr>
                        <w:rPr>
                          <w:rFonts w:ascii="Arial" w:hAnsi="Arial" w:cs="Arial"/>
                          <w:sz w:val="20"/>
                          <w:szCs w:val="20"/>
                        </w:rPr>
                      </w:pPr>
                      <w:r>
                        <w:rPr>
                          <w:rFonts w:ascii="Arial" w:hAnsi="Arial" w:cs="Arial"/>
                          <w:sz w:val="20"/>
                          <w:szCs w:val="20"/>
                        </w:rPr>
                        <w:t>23</w:t>
                      </w:r>
                      <w:r w:rsidR="00E159F9" w:rsidRPr="00E159F9">
                        <w:rPr>
                          <w:rFonts w:ascii="Arial" w:hAnsi="Arial" w:cs="Arial"/>
                          <w:sz w:val="20"/>
                          <w:szCs w:val="20"/>
                        </w:rPr>
                        <w:t xml:space="preserve">. </w:t>
                      </w:r>
                      <w:r w:rsidR="00B26F41">
                        <w:rPr>
                          <w:rFonts w:ascii="Arial" w:hAnsi="Arial" w:cs="Arial"/>
                          <w:sz w:val="20"/>
                          <w:szCs w:val="20"/>
                        </w:rPr>
                        <w:t>marts</w:t>
                      </w:r>
                      <w:r w:rsidR="004277BA">
                        <w:rPr>
                          <w:rFonts w:ascii="Arial" w:hAnsi="Arial" w:cs="Arial"/>
                          <w:sz w:val="20"/>
                          <w:szCs w:val="20"/>
                        </w:rPr>
                        <w:t xml:space="preserve"> </w:t>
                      </w:r>
                      <w:r w:rsidR="00E159F9" w:rsidRPr="00E159F9">
                        <w:rPr>
                          <w:rFonts w:ascii="Arial" w:hAnsi="Arial" w:cs="Arial"/>
                          <w:sz w:val="20"/>
                          <w:szCs w:val="20"/>
                        </w:rPr>
                        <w:t>202</w:t>
                      </w:r>
                      <w:r w:rsidR="004277BA">
                        <w:rPr>
                          <w:rFonts w:ascii="Arial" w:hAnsi="Arial" w:cs="Arial"/>
                          <w:sz w:val="20"/>
                          <w:szCs w:val="20"/>
                        </w:rPr>
                        <w:t>3</w:t>
                      </w:r>
                    </w:p>
                  </w:txbxContent>
                </v:textbox>
              </v:shape>
            </w:pict>
          </mc:Fallback>
        </mc:AlternateContent>
      </w:r>
      <w:r w:rsidR="00900957" w:rsidRPr="00105E79">
        <w:rPr>
          <w:rFonts w:ascii="Arial" w:hAnsi="Arial" w:cs="Arial"/>
          <w:b/>
          <w:bCs/>
        </w:rPr>
        <w:t xml:space="preserve">Til </w:t>
      </w:r>
      <w:r w:rsidR="00B26F41">
        <w:rPr>
          <w:rFonts w:ascii="Arial" w:hAnsi="Arial" w:cs="Arial"/>
          <w:b/>
          <w:bCs/>
        </w:rPr>
        <w:t>Følgegruppen for rehabilitering og genoptræning</w:t>
      </w:r>
    </w:p>
    <w:p w14:paraId="616919C8" w14:textId="77777777" w:rsidR="00900957" w:rsidRPr="00105E79" w:rsidRDefault="00900957" w:rsidP="00750262">
      <w:pPr>
        <w:rPr>
          <w:rFonts w:ascii="Arial" w:hAnsi="Arial" w:cs="Arial"/>
          <w:color w:val="8EAADB" w:themeColor="accent1" w:themeTint="99"/>
        </w:rPr>
      </w:pPr>
    </w:p>
    <w:p w14:paraId="028E5010" w14:textId="3C3E5813" w:rsidR="00900957" w:rsidRPr="00105E79" w:rsidRDefault="00900957" w:rsidP="00750262">
      <w:pPr>
        <w:rPr>
          <w:rFonts w:ascii="Arial" w:hAnsi="Arial" w:cs="Arial"/>
          <w:color w:val="2F5496" w:themeColor="accent1" w:themeShade="BF"/>
          <w:sz w:val="28"/>
          <w:szCs w:val="28"/>
        </w:rPr>
      </w:pPr>
      <w:r w:rsidRPr="00105E79">
        <w:rPr>
          <w:rFonts w:ascii="Arial" w:hAnsi="Arial" w:cs="Arial"/>
          <w:color w:val="2F5496" w:themeColor="accent1" w:themeShade="BF"/>
          <w:sz w:val="28"/>
          <w:szCs w:val="28"/>
        </w:rPr>
        <w:t xml:space="preserve">Fælleskommunalt høringssvar til </w:t>
      </w:r>
      <w:r w:rsidR="00B26F41">
        <w:rPr>
          <w:rFonts w:ascii="Arial" w:hAnsi="Arial" w:cs="Arial"/>
          <w:color w:val="2F5496" w:themeColor="accent1" w:themeShade="BF"/>
          <w:sz w:val="28"/>
          <w:szCs w:val="28"/>
        </w:rPr>
        <w:t>samarbejdsaftale vedr. voksne med erhvervet hjerneskade</w:t>
      </w:r>
    </w:p>
    <w:p w14:paraId="3924B202" w14:textId="11F57B56" w:rsidR="00433E10" w:rsidRPr="005D7889" w:rsidRDefault="00750262" w:rsidP="00750262">
      <w:pPr>
        <w:rPr>
          <w:rFonts w:ascii="Arial" w:hAnsi="Arial" w:cs="Arial"/>
        </w:rPr>
      </w:pPr>
      <w:r w:rsidRPr="005D7889">
        <w:rPr>
          <w:rFonts w:ascii="Arial" w:hAnsi="Arial" w:cs="Arial"/>
        </w:rPr>
        <w:t xml:space="preserve">De syddanske kommuner takker for det fremsendte høringsudkast </w:t>
      </w:r>
      <w:r w:rsidR="00B26F41" w:rsidRPr="005D7889">
        <w:rPr>
          <w:rFonts w:ascii="Arial" w:hAnsi="Arial" w:cs="Arial"/>
        </w:rPr>
        <w:t xml:space="preserve">til samarbejdsaftale vedr. voksne med erhvervet hjerneskade. </w:t>
      </w:r>
    </w:p>
    <w:p w14:paraId="2BACF8E0" w14:textId="3DEC3FE6" w:rsidR="00B26F41" w:rsidRPr="005D7889" w:rsidRDefault="00B26F41" w:rsidP="00750262">
      <w:pPr>
        <w:rPr>
          <w:rFonts w:ascii="Arial" w:hAnsi="Arial" w:cs="Arial"/>
        </w:rPr>
      </w:pPr>
      <w:r w:rsidRPr="005D7889">
        <w:rPr>
          <w:rFonts w:ascii="Arial" w:hAnsi="Arial" w:cs="Arial"/>
        </w:rPr>
        <w:t>Kommunerne anerkender initiativet og arbejdet med at samle de retningsgivende dokumenter for det syddanske samarbejde på hjerneskadeområdet, hvilket skabe</w:t>
      </w:r>
      <w:r w:rsidR="00A216AB" w:rsidRPr="005D7889">
        <w:rPr>
          <w:rFonts w:ascii="Arial" w:hAnsi="Arial" w:cs="Arial"/>
        </w:rPr>
        <w:t>r</w:t>
      </w:r>
      <w:r w:rsidRPr="005D7889">
        <w:rPr>
          <w:rFonts w:ascii="Arial" w:hAnsi="Arial" w:cs="Arial"/>
        </w:rPr>
        <w:t xml:space="preserve"> et samlet overblik. Kommuner</w:t>
      </w:r>
      <w:r w:rsidR="0072036D" w:rsidRPr="005D7889">
        <w:rPr>
          <w:rFonts w:ascii="Arial" w:hAnsi="Arial" w:cs="Arial"/>
        </w:rPr>
        <w:t>ne</w:t>
      </w:r>
      <w:r w:rsidRPr="005D7889">
        <w:rPr>
          <w:rFonts w:ascii="Arial" w:hAnsi="Arial" w:cs="Arial"/>
        </w:rPr>
        <w:t xml:space="preserve"> har følgende opmærksomhedspunkter til samarbejdsaftalen:</w:t>
      </w:r>
    </w:p>
    <w:p w14:paraId="60E392E1" w14:textId="2B5C1EE4" w:rsidR="00B26F41" w:rsidRPr="005D7889" w:rsidRDefault="00D26EFE" w:rsidP="00A216AB">
      <w:pPr>
        <w:pStyle w:val="Listeafsnit"/>
        <w:numPr>
          <w:ilvl w:val="0"/>
          <w:numId w:val="7"/>
        </w:numPr>
        <w:ind w:left="714" w:hanging="357"/>
        <w:rPr>
          <w:rFonts w:ascii="Arial" w:hAnsi="Arial" w:cs="Arial"/>
        </w:rPr>
      </w:pPr>
      <w:r w:rsidRPr="005D7889">
        <w:rPr>
          <w:rFonts w:ascii="Arial" w:hAnsi="Arial" w:cs="Arial"/>
        </w:rPr>
        <w:t xml:space="preserve">Der står på </w:t>
      </w:r>
      <w:r w:rsidR="00A216AB" w:rsidRPr="005D7889">
        <w:rPr>
          <w:rFonts w:ascii="Arial" w:hAnsi="Arial" w:cs="Arial"/>
        </w:rPr>
        <w:t xml:space="preserve">side </w:t>
      </w:r>
      <w:r w:rsidRPr="005D7889">
        <w:rPr>
          <w:rFonts w:ascii="Arial" w:hAnsi="Arial" w:cs="Arial"/>
        </w:rPr>
        <w:t xml:space="preserve">5, at </w:t>
      </w:r>
      <w:r w:rsidR="00A216AB" w:rsidRPr="005D7889">
        <w:rPr>
          <w:rFonts w:ascii="Arial" w:hAnsi="Arial" w:cs="Arial"/>
        </w:rPr>
        <w:t>r</w:t>
      </w:r>
      <w:r w:rsidRPr="005D7889">
        <w:rPr>
          <w:rFonts w:ascii="Arial" w:hAnsi="Arial" w:cs="Arial"/>
        </w:rPr>
        <w:t xml:space="preserve">egionen har ansvar for at sikre udviklings- og forskningsarbejde, og kommunerne skal medvirke til dette, men det er ikke uddybet, hvad kommunernes rolle er i den sammenhæng. Der er ønske om, at dette fremgår tydeligere, så der ikke opstår forskellige opfattelser af, hvad kommunernes rolle er i </w:t>
      </w:r>
      <w:r w:rsidR="00A216AB" w:rsidRPr="005D7889">
        <w:rPr>
          <w:rFonts w:ascii="Arial" w:hAnsi="Arial" w:cs="Arial"/>
        </w:rPr>
        <w:t xml:space="preserve">forhold til at sikre udviklings- og </w:t>
      </w:r>
      <w:r w:rsidR="00AC4C94" w:rsidRPr="005D7889">
        <w:rPr>
          <w:rFonts w:ascii="Arial" w:hAnsi="Arial" w:cs="Arial"/>
        </w:rPr>
        <w:t>forskningsarbejdet</w:t>
      </w:r>
      <w:r w:rsidRPr="005D7889">
        <w:rPr>
          <w:rFonts w:ascii="Arial" w:hAnsi="Arial" w:cs="Arial"/>
        </w:rPr>
        <w:t>.</w:t>
      </w:r>
    </w:p>
    <w:p w14:paraId="35E60E0B" w14:textId="77777777" w:rsidR="0072036D" w:rsidRPr="005D7889" w:rsidRDefault="0072036D" w:rsidP="0072036D">
      <w:pPr>
        <w:pStyle w:val="Listeafsnit"/>
        <w:ind w:left="714"/>
        <w:rPr>
          <w:rFonts w:ascii="Arial" w:hAnsi="Arial" w:cs="Arial"/>
        </w:rPr>
      </w:pPr>
    </w:p>
    <w:p w14:paraId="56E1F68C" w14:textId="124DDB8F" w:rsidR="0072036D" w:rsidRPr="005D7889" w:rsidRDefault="0072036D" w:rsidP="0072036D">
      <w:pPr>
        <w:pStyle w:val="Listeafsnit"/>
        <w:numPr>
          <w:ilvl w:val="0"/>
          <w:numId w:val="7"/>
        </w:numPr>
        <w:ind w:left="714" w:hanging="357"/>
        <w:rPr>
          <w:rFonts w:ascii="Arial" w:hAnsi="Arial" w:cs="Arial"/>
        </w:rPr>
      </w:pPr>
      <w:r w:rsidRPr="005D7889">
        <w:rPr>
          <w:rFonts w:ascii="Arial" w:hAnsi="Arial" w:cs="Arial"/>
        </w:rPr>
        <w:t>På Side 5 i skema 2.1 under ”Kørselsforbud” bør det tilføjes, at det skal fremgå af borgerens udskrivningsrapport, genoptræningsplan eller epikrise samt tydelighed om hvor længe kørselsforbuddet er gældende.</w:t>
      </w:r>
    </w:p>
    <w:p w14:paraId="4D10C6A2" w14:textId="77777777" w:rsidR="00A216AB" w:rsidRPr="005D7889" w:rsidRDefault="00A216AB" w:rsidP="00A216AB">
      <w:pPr>
        <w:pStyle w:val="Listeafsnit"/>
        <w:ind w:left="714"/>
        <w:rPr>
          <w:rFonts w:ascii="Arial" w:hAnsi="Arial" w:cs="Arial"/>
        </w:rPr>
      </w:pPr>
    </w:p>
    <w:p w14:paraId="53AD88E9" w14:textId="2EA277AE" w:rsidR="00A216AB" w:rsidRPr="005D7889" w:rsidRDefault="00C65BB7" w:rsidP="00A216AB">
      <w:pPr>
        <w:pStyle w:val="Listeafsnit"/>
        <w:numPr>
          <w:ilvl w:val="0"/>
          <w:numId w:val="7"/>
        </w:numPr>
        <w:ind w:left="714" w:hanging="357"/>
        <w:rPr>
          <w:rFonts w:ascii="Arial" w:hAnsi="Arial" w:cs="Arial"/>
        </w:rPr>
      </w:pPr>
      <w:r w:rsidRPr="005D7889">
        <w:rPr>
          <w:rFonts w:ascii="Arial" w:hAnsi="Arial" w:cs="Arial"/>
        </w:rPr>
        <w:t>På side 5 i skemae</w:t>
      </w:r>
      <w:r w:rsidR="00A216AB" w:rsidRPr="005D7889">
        <w:rPr>
          <w:rFonts w:ascii="Arial" w:hAnsi="Arial" w:cs="Arial"/>
        </w:rPr>
        <w:t>t</w:t>
      </w:r>
      <w:r w:rsidRPr="005D7889">
        <w:rPr>
          <w:rFonts w:ascii="Arial" w:hAnsi="Arial" w:cs="Arial"/>
        </w:rPr>
        <w:t xml:space="preserve"> 2.1 mangler kommunerne at frem</w:t>
      </w:r>
      <w:r w:rsidR="00A216AB" w:rsidRPr="005D7889">
        <w:rPr>
          <w:rFonts w:ascii="Arial" w:hAnsi="Arial" w:cs="Arial"/>
        </w:rPr>
        <w:t>gå</w:t>
      </w:r>
      <w:r w:rsidRPr="005D7889">
        <w:rPr>
          <w:rFonts w:ascii="Arial" w:hAnsi="Arial" w:cs="Arial"/>
        </w:rPr>
        <w:t xml:space="preserve"> i forhold til den patientrettede forebyggelse</w:t>
      </w:r>
      <w:r w:rsidR="0072036D" w:rsidRPr="005D7889">
        <w:rPr>
          <w:rFonts w:ascii="Arial" w:hAnsi="Arial" w:cs="Arial"/>
        </w:rPr>
        <w:t xml:space="preserve">. </w:t>
      </w:r>
    </w:p>
    <w:p w14:paraId="36D40A45" w14:textId="77777777" w:rsidR="00A216AB" w:rsidRPr="005D7889" w:rsidRDefault="00A216AB" w:rsidP="00A216AB">
      <w:pPr>
        <w:pStyle w:val="Listeafsnit"/>
        <w:ind w:left="714"/>
        <w:rPr>
          <w:rFonts w:ascii="Arial" w:hAnsi="Arial" w:cs="Arial"/>
        </w:rPr>
      </w:pPr>
    </w:p>
    <w:p w14:paraId="33C6A538" w14:textId="4FECC315" w:rsidR="00C65BB7" w:rsidRPr="005D7889" w:rsidRDefault="00C65BB7" w:rsidP="00A216AB">
      <w:pPr>
        <w:pStyle w:val="Listeafsnit"/>
        <w:numPr>
          <w:ilvl w:val="0"/>
          <w:numId w:val="7"/>
        </w:numPr>
        <w:ind w:left="714" w:hanging="357"/>
        <w:rPr>
          <w:rFonts w:ascii="Arial" w:hAnsi="Arial" w:cs="Arial"/>
        </w:rPr>
      </w:pPr>
      <w:r w:rsidRPr="005D7889">
        <w:rPr>
          <w:rFonts w:ascii="Arial" w:hAnsi="Arial" w:cs="Arial"/>
        </w:rPr>
        <w:t>På side 6 i skema 2.1 er ordet ”habilitet” brugt, men det fremgår ikke tydeligt, hvad der ligger i dette begreb. Det ønskes specificeret.</w:t>
      </w:r>
    </w:p>
    <w:p w14:paraId="59BB8A3B" w14:textId="77777777" w:rsidR="0072036D" w:rsidRPr="005D7889" w:rsidRDefault="0072036D" w:rsidP="0072036D">
      <w:pPr>
        <w:pStyle w:val="Listeafsnit"/>
        <w:rPr>
          <w:rFonts w:ascii="Arial" w:hAnsi="Arial" w:cs="Arial"/>
        </w:rPr>
      </w:pPr>
    </w:p>
    <w:p w14:paraId="220234A3" w14:textId="697972F9" w:rsidR="0072036D" w:rsidRPr="005D7889" w:rsidRDefault="0072036D" w:rsidP="0072036D">
      <w:pPr>
        <w:pStyle w:val="Listeafsnit"/>
        <w:numPr>
          <w:ilvl w:val="0"/>
          <w:numId w:val="7"/>
        </w:numPr>
        <w:ind w:left="714" w:hanging="357"/>
        <w:rPr>
          <w:rFonts w:ascii="Arial" w:hAnsi="Arial" w:cs="Arial"/>
        </w:rPr>
      </w:pPr>
      <w:r w:rsidRPr="005D7889">
        <w:rPr>
          <w:rFonts w:ascii="Arial" w:hAnsi="Arial" w:cs="Arial"/>
        </w:rPr>
        <w:t>På side 6 i skema 2.1 under ”Inddragelse” bør det fremgå, at de, der har ansvaret for overdragelse, sørger for at indhente samtykke.</w:t>
      </w:r>
    </w:p>
    <w:p w14:paraId="49AA1447" w14:textId="77777777" w:rsidR="0072036D" w:rsidRPr="005D7889" w:rsidRDefault="0072036D" w:rsidP="0072036D">
      <w:pPr>
        <w:pStyle w:val="Listeafsnit"/>
        <w:rPr>
          <w:rFonts w:ascii="Arial" w:hAnsi="Arial" w:cs="Arial"/>
        </w:rPr>
      </w:pPr>
    </w:p>
    <w:p w14:paraId="1CD8B113" w14:textId="43543DAB" w:rsidR="0072036D" w:rsidRPr="005D7889" w:rsidRDefault="0072036D" w:rsidP="0072036D">
      <w:pPr>
        <w:pStyle w:val="Listeafsnit"/>
        <w:numPr>
          <w:ilvl w:val="0"/>
          <w:numId w:val="7"/>
        </w:numPr>
        <w:ind w:left="714" w:hanging="357"/>
        <w:rPr>
          <w:rFonts w:ascii="Arial" w:hAnsi="Arial" w:cs="Arial"/>
        </w:rPr>
      </w:pPr>
      <w:r w:rsidRPr="005D7889">
        <w:rPr>
          <w:rFonts w:ascii="Arial" w:hAnsi="Arial" w:cs="Arial"/>
        </w:rPr>
        <w:t>På side 7 under skemaet med ”øvrige opgaver” mangler det at fremgå, hvem der har ansvaret for synsudredningen.</w:t>
      </w:r>
    </w:p>
    <w:p w14:paraId="400DF21B" w14:textId="77777777" w:rsidR="0072036D" w:rsidRPr="005D7889" w:rsidRDefault="0072036D" w:rsidP="0072036D">
      <w:pPr>
        <w:pStyle w:val="Listeafsnit"/>
        <w:ind w:left="714"/>
        <w:rPr>
          <w:rFonts w:ascii="Arial" w:hAnsi="Arial" w:cs="Arial"/>
        </w:rPr>
      </w:pPr>
    </w:p>
    <w:p w14:paraId="4904D711" w14:textId="551BB699" w:rsidR="0072036D" w:rsidRPr="005D7889" w:rsidRDefault="0072036D" w:rsidP="0072036D">
      <w:pPr>
        <w:pStyle w:val="Listeafsnit"/>
        <w:numPr>
          <w:ilvl w:val="0"/>
          <w:numId w:val="7"/>
        </w:numPr>
        <w:ind w:left="714" w:hanging="357"/>
        <w:rPr>
          <w:rFonts w:ascii="Arial" w:hAnsi="Arial" w:cs="Arial"/>
        </w:rPr>
      </w:pPr>
      <w:r w:rsidRPr="005D7889">
        <w:rPr>
          <w:rFonts w:ascii="Arial" w:hAnsi="Arial" w:cs="Arial"/>
        </w:rPr>
        <w:t>På side 8 under punkt 2.2.1 om de foreningsejede specialsygehuse, mangler det at fremgå, hvem der kan/er ansvarlig for at henvise til disse tilbud.</w:t>
      </w:r>
    </w:p>
    <w:p w14:paraId="0684981A" w14:textId="77777777" w:rsidR="00A216AB" w:rsidRPr="005D7889" w:rsidRDefault="00A216AB" w:rsidP="00A216AB">
      <w:pPr>
        <w:pStyle w:val="Listeafsnit"/>
        <w:ind w:left="714"/>
        <w:rPr>
          <w:rFonts w:ascii="Arial" w:hAnsi="Arial" w:cs="Arial"/>
        </w:rPr>
      </w:pPr>
    </w:p>
    <w:p w14:paraId="4F0CB712" w14:textId="20C90052" w:rsidR="00A216AB" w:rsidRPr="005D7889" w:rsidRDefault="00E32F0B" w:rsidP="00A216AB">
      <w:pPr>
        <w:pStyle w:val="Listeafsnit"/>
        <w:numPr>
          <w:ilvl w:val="0"/>
          <w:numId w:val="7"/>
        </w:numPr>
        <w:ind w:left="714" w:hanging="357"/>
        <w:rPr>
          <w:rFonts w:ascii="Arial" w:hAnsi="Arial" w:cs="Arial"/>
        </w:rPr>
      </w:pPr>
      <w:r w:rsidRPr="005D7889">
        <w:rPr>
          <w:rFonts w:ascii="Arial" w:hAnsi="Arial" w:cs="Arial"/>
        </w:rPr>
        <w:t>På side 8 under Rådgivende Organe</w:t>
      </w:r>
      <w:r w:rsidR="00AC4C94" w:rsidRPr="005D7889">
        <w:rPr>
          <w:rFonts w:ascii="Arial" w:hAnsi="Arial" w:cs="Arial"/>
        </w:rPr>
        <w:t>r mangler der</w:t>
      </w:r>
      <w:r w:rsidRPr="005D7889">
        <w:rPr>
          <w:rFonts w:ascii="Arial" w:hAnsi="Arial" w:cs="Arial"/>
        </w:rPr>
        <w:t xml:space="preserve"> konkrete eksempler på, hvem disse rådgivende organer </w:t>
      </w:r>
      <w:r w:rsidR="00AC4C94" w:rsidRPr="005D7889">
        <w:rPr>
          <w:rFonts w:ascii="Arial" w:hAnsi="Arial" w:cs="Arial"/>
        </w:rPr>
        <w:t>er</w:t>
      </w:r>
      <w:r w:rsidRPr="005D7889">
        <w:rPr>
          <w:rFonts w:ascii="Arial" w:hAnsi="Arial" w:cs="Arial"/>
        </w:rPr>
        <w:t xml:space="preserve"> samt hvem der kontrollerer kvaliteten af den rådgivning, de udøver.</w:t>
      </w:r>
    </w:p>
    <w:p w14:paraId="62B9CC6E" w14:textId="77777777" w:rsidR="00A216AB" w:rsidRPr="005D7889" w:rsidRDefault="00A216AB" w:rsidP="00A216AB">
      <w:pPr>
        <w:pStyle w:val="Listeafsnit"/>
        <w:ind w:left="714"/>
        <w:rPr>
          <w:rFonts w:ascii="Arial" w:hAnsi="Arial" w:cs="Arial"/>
        </w:rPr>
      </w:pPr>
    </w:p>
    <w:p w14:paraId="7B57B7AB" w14:textId="620AB5BD" w:rsidR="003A2B5B" w:rsidRPr="003A2B5B" w:rsidRDefault="00E32F0B" w:rsidP="003A2B5B">
      <w:pPr>
        <w:pStyle w:val="Listeafsnit"/>
        <w:numPr>
          <w:ilvl w:val="0"/>
          <w:numId w:val="7"/>
        </w:numPr>
        <w:ind w:left="714" w:hanging="357"/>
        <w:rPr>
          <w:rFonts w:ascii="Arial" w:hAnsi="Arial" w:cs="Arial"/>
        </w:rPr>
      </w:pPr>
      <w:r w:rsidRPr="005D7889">
        <w:rPr>
          <w:rFonts w:ascii="Arial" w:hAnsi="Arial" w:cs="Arial"/>
        </w:rPr>
        <w:t>På side 9 under afsnit 3 om genoptræningsplaner er der ønske om, at det skrives eksplicit frem, at det er sygehuset, der har ansvaret for at udarbejde en genoptræningsplan.</w:t>
      </w:r>
      <w:r w:rsidR="003A2B5B">
        <w:rPr>
          <w:rFonts w:ascii="Arial" w:hAnsi="Arial" w:cs="Arial"/>
        </w:rPr>
        <w:t xml:space="preserve"> Under samme afsnit bemærkes det, at der </w:t>
      </w:r>
      <w:r w:rsidR="003A2B5B" w:rsidRPr="003A2B5B">
        <w:rPr>
          <w:rFonts w:ascii="Arial" w:hAnsi="Arial" w:cs="Arial"/>
        </w:rPr>
        <w:t>e</w:t>
      </w:r>
      <w:r w:rsidR="003A2B5B" w:rsidRPr="003A2B5B">
        <w:rPr>
          <w:rFonts w:ascii="Arial" w:hAnsi="Arial" w:cs="Arial"/>
        </w:rPr>
        <w:t xml:space="preserve">rfaringsmæssigt </w:t>
      </w:r>
      <w:r w:rsidR="003A2B5B" w:rsidRPr="003A2B5B">
        <w:rPr>
          <w:rFonts w:ascii="Arial" w:hAnsi="Arial" w:cs="Arial"/>
        </w:rPr>
        <w:t>ses</w:t>
      </w:r>
      <w:r w:rsidR="003A2B5B" w:rsidRPr="003A2B5B">
        <w:rPr>
          <w:rFonts w:ascii="Arial" w:hAnsi="Arial" w:cs="Arial"/>
        </w:rPr>
        <w:t xml:space="preserve"> god gavn af, at selve vurdering af </w:t>
      </w:r>
      <w:r w:rsidR="003A2B5B" w:rsidRPr="003A2B5B">
        <w:rPr>
          <w:rFonts w:ascii="Arial" w:hAnsi="Arial" w:cs="Arial"/>
        </w:rPr>
        <w:t>behovet</w:t>
      </w:r>
      <w:r w:rsidR="003A2B5B" w:rsidRPr="003A2B5B">
        <w:rPr>
          <w:rFonts w:ascii="Arial" w:hAnsi="Arial" w:cs="Arial"/>
        </w:rPr>
        <w:t xml:space="preserve"> for en ev</w:t>
      </w:r>
      <w:r w:rsidR="003A2B5B" w:rsidRPr="003A2B5B">
        <w:rPr>
          <w:rFonts w:ascii="Arial" w:hAnsi="Arial" w:cs="Arial"/>
        </w:rPr>
        <w:t>entuel</w:t>
      </w:r>
      <w:r w:rsidR="003A2B5B" w:rsidRPr="003A2B5B">
        <w:rPr>
          <w:rFonts w:ascii="Arial" w:hAnsi="Arial" w:cs="Arial"/>
        </w:rPr>
        <w:t xml:space="preserve"> genoptræningsplan foregår tværfagligt med henblik på at undgå, at patienter med behov for genoptræning udskrives uden </w:t>
      </w:r>
      <w:r w:rsidR="003A2B5B" w:rsidRPr="003A2B5B">
        <w:rPr>
          <w:rFonts w:ascii="Arial" w:hAnsi="Arial" w:cs="Arial"/>
        </w:rPr>
        <w:t xml:space="preserve">en </w:t>
      </w:r>
      <w:r w:rsidR="003A2B5B" w:rsidRPr="003A2B5B">
        <w:rPr>
          <w:rFonts w:ascii="Arial" w:hAnsi="Arial" w:cs="Arial"/>
        </w:rPr>
        <w:t>genoptræningsplan.</w:t>
      </w:r>
    </w:p>
    <w:p w14:paraId="1093AF33" w14:textId="77777777" w:rsidR="003A2B5B" w:rsidRPr="003A2B5B" w:rsidRDefault="003A2B5B" w:rsidP="003A2B5B">
      <w:pPr>
        <w:pStyle w:val="Listeafsnit"/>
      </w:pPr>
    </w:p>
    <w:p w14:paraId="6FF352F6" w14:textId="77777777" w:rsidR="00A216AB" w:rsidRPr="005D7889" w:rsidRDefault="00A216AB" w:rsidP="00A216AB">
      <w:pPr>
        <w:pStyle w:val="Listeafsnit"/>
        <w:ind w:left="714"/>
        <w:rPr>
          <w:rFonts w:ascii="Arial" w:hAnsi="Arial" w:cs="Arial"/>
        </w:rPr>
      </w:pPr>
    </w:p>
    <w:p w14:paraId="2AFFC63C" w14:textId="468696BB" w:rsidR="00A216AB" w:rsidRPr="005D7889" w:rsidRDefault="00B90FEA" w:rsidP="00A216AB">
      <w:pPr>
        <w:pStyle w:val="Listeafsnit"/>
        <w:numPr>
          <w:ilvl w:val="0"/>
          <w:numId w:val="7"/>
        </w:numPr>
        <w:rPr>
          <w:rFonts w:ascii="Arial" w:hAnsi="Arial" w:cs="Arial"/>
        </w:rPr>
      </w:pPr>
      <w:r w:rsidRPr="005D7889">
        <w:rPr>
          <w:rFonts w:ascii="Arial" w:hAnsi="Arial" w:cs="Arial"/>
        </w:rPr>
        <w:t xml:space="preserve">På side 10 fremgår det, at basal genoptræning typisk sker minimum to gange om ugen, mens avanceret genoptræning typisk sker tre gange om ugen. Det forslås, at disse sætninger </w:t>
      </w:r>
      <w:r w:rsidR="00AC4C94" w:rsidRPr="005D7889">
        <w:rPr>
          <w:rFonts w:ascii="Arial" w:hAnsi="Arial" w:cs="Arial"/>
        </w:rPr>
        <w:t>omformuleres</w:t>
      </w:r>
      <w:r w:rsidRPr="005D7889">
        <w:rPr>
          <w:rFonts w:ascii="Arial" w:hAnsi="Arial" w:cs="Arial"/>
        </w:rPr>
        <w:t xml:space="preserve">, da antallet af genoptræningsindsatser skal fastlægges ud fra et individuelt behov hos den enkelte borger. </w:t>
      </w:r>
    </w:p>
    <w:p w14:paraId="0CA4E414" w14:textId="77777777" w:rsidR="00A216AB" w:rsidRPr="005D7889" w:rsidRDefault="00A216AB" w:rsidP="00A216AB">
      <w:pPr>
        <w:pStyle w:val="Listeafsnit"/>
        <w:ind w:left="714"/>
        <w:rPr>
          <w:rFonts w:ascii="Arial" w:hAnsi="Arial" w:cs="Arial"/>
        </w:rPr>
      </w:pPr>
    </w:p>
    <w:p w14:paraId="7089DAEF" w14:textId="3C7F2EC9" w:rsidR="00B90FEA" w:rsidRPr="000419AA" w:rsidRDefault="0031683F" w:rsidP="000419AA">
      <w:pPr>
        <w:pStyle w:val="Listeafsnit"/>
        <w:numPr>
          <w:ilvl w:val="0"/>
          <w:numId w:val="7"/>
        </w:numPr>
        <w:rPr>
          <w:rFonts w:ascii="Arial" w:hAnsi="Arial" w:cs="Arial"/>
        </w:rPr>
      </w:pPr>
      <w:r w:rsidRPr="005D7889">
        <w:rPr>
          <w:rFonts w:ascii="Arial" w:hAnsi="Arial" w:cs="Arial"/>
        </w:rPr>
        <w:t xml:space="preserve">I afsnittet ”Tværsektorielle forløb og faser” under overskriften ”Den </w:t>
      </w:r>
      <w:proofErr w:type="spellStart"/>
      <w:r w:rsidRPr="005D7889">
        <w:rPr>
          <w:rFonts w:ascii="Arial" w:hAnsi="Arial" w:cs="Arial"/>
        </w:rPr>
        <w:t>subakutte</w:t>
      </w:r>
      <w:proofErr w:type="spellEnd"/>
      <w:r w:rsidRPr="005D7889">
        <w:rPr>
          <w:rFonts w:ascii="Arial" w:hAnsi="Arial" w:cs="Arial"/>
        </w:rPr>
        <w:t xml:space="preserve"> indlæggelse” beskrives primært rehabiliteringsprocessen i sygehusregi</w:t>
      </w:r>
      <w:r w:rsidR="00AC4C94" w:rsidRPr="005D7889">
        <w:rPr>
          <w:rFonts w:ascii="Arial" w:hAnsi="Arial" w:cs="Arial"/>
        </w:rPr>
        <w:t>.</w:t>
      </w:r>
      <w:r w:rsidRPr="005D7889">
        <w:rPr>
          <w:rFonts w:ascii="Arial" w:hAnsi="Arial" w:cs="Arial"/>
        </w:rPr>
        <w:t xml:space="preserve"> </w:t>
      </w:r>
      <w:r w:rsidR="00AC4C94" w:rsidRPr="005D7889">
        <w:rPr>
          <w:rFonts w:ascii="Arial" w:hAnsi="Arial" w:cs="Arial"/>
        </w:rPr>
        <w:t>M</w:t>
      </w:r>
      <w:r w:rsidRPr="005D7889">
        <w:rPr>
          <w:rFonts w:ascii="Arial" w:hAnsi="Arial" w:cs="Arial"/>
        </w:rPr>
        <w:t xml:space="preserve">an kunne med fordel ændre </w:t>
      </w:r>
      <w:r w:rsidRPr="000419AA">
        <w:rPr>
          <w:rFonts w:ascii="Arial" w:hAnsi="Arial" w:cs="Arial"/>
        </w:rPr>
        <w:t xml:space="preserve">overskriften til ”den </w:t>
      </w:r>
      <w:proofErr w:type="spellStart"/>
      <w:r w:rsidRPr="000419AA">
        <w:rPr>
          <w:rFonts w:ascii="Arial" w:hAnsi="Arial" w:cs="Arial"/>
        </w:rPr>
        <w:t>subakutte</w:t>
      </w:r>
      <w:proofErr w:type="spellEnd"/>
      <w:r w:rsidRPr="000419AA">
        <w:rPr>
          <w:rFonts w:ascii="Arial" w:hAnsi="Arial" w:cs="Arial"/>
        </w:rPr>
        <w:t xml:space="preserve"> fase”, dels for at blive i samme terminologi som de øvrige overskrifter, og dels for at skabe plads til at beskrive den rehabiliterende fase i kommunalt regi.</w:t>
      </w:r>
    </w:p>
    <w:p w14:paraId="5D6E1236" w14:textId="62BD80D9" w:rsidR="007C0DD6" w:rsidRDefault="007C0DD6" w:rsidP="005D7889">
      <w:pPr>
        <w:pStyle w:val="Listeafsnit"/>
        <w:rPr>
          <w:rFonts w:ascii="Arial" w:hAnsi="Arial" w:cs="Arial"/>
        </w:rPr>
      </w:pPr>
    </w:p>
    <w:p w14:paraId="1B04FFDE" w14:textId="17FDA383" w:rsidR="007C0DD6" w:rsidRDefault="007C0DD6" w:rsidP="007C0DD6">
      <w:pPr>
        <w:pStyle w:val="Listeafsnit"/>
        <w:numPr>
          <w:ilvl w:val="0"/>
          <w:numId w:val="7"/>
        </w:numPr>
        <w:rPr>
          <w:rFonts w:ascii="Arial" w:hAnsi="Arial" w:cs="Arial"/>
        </w:rPr>
      </w:pPr>
      <w:r w:rsidRPr="007C0DD6">
        <w:rPr>
          <w:rFonts w:ascii="Arial" w:hAnsi="Arial" w:cs="Arial"/>
        </w:rPr>
        <w:t>På side 12 under afsnit 4.4, står der, at ”Der skal være det fornødne volumenmæssige grundlag for, at der kan medvirkes til udviklingsarbejde og forskning, og der skal være mulighed for at undervise, vejlede og yde supervision til andre sundhedspersoner inden for hjerneskaderehabilitering”. Kommunerne ønsker en uddybning af, hvad menes med ”mulighed for at undervise, vejlede og yde supervision”</w:t>
      </w:r>
    </w:p>
    <w:p w14:paraId="77D10F5F" w14:textId="77777777" w:rsidR="003A2B5B" w:rsidRPr="003A2B5B" w:rsidRDefault="003A2B5B" w:rsidP="003A2B5B">
      <w:pPr>
        <w:pStyle w:val="Listeafsnit"/>
        <w:rPr>
          <w:rFonts w:ascii="Arial" w:hAnsi="Arial" w:cs="Arial"/>
        </w:rPr>
      </w:pPr>
    </w:p>
    <w:p w14:paraId="78769222" w14:textId="395D887F" w:rsidR="003A2B5B" w:rsidRPr="003A2B5B" w:rsidRDefault="003A2B5B" w:rsidP="003A2B5B">
      <w:pPr>
        <w:pStyle w:val="Listeafsnit"/>
        <w:numPr>
          <w:ilvl w:val="0"/>
          <w:numId w:val="7"/>
        </w:numPr>
        <w:rPr>
          <w:rFonts w:ascii="Arial" w:hAnsi="Arial" w:cs="Arial"/>
        </w:rPr>
      </w:pPr>
      <w:r w:rsidRPr="003A2B5B">
        <w:rPr>
          <w:rFonts w:ascii="Arial" w:hAnsi="Arial" w:cs="Arial"/>
        </w:rPr>
        <w:t xml:space="preserve">Det bemærkes, at der på side 13 i </w:t>
      </w:r>
      <w:r w:rsidRPr="003A2B5B">
        <w:rPr>
          <w:rFonts w:ascii="Arial" w:hAnsi="Arial" w:cs="Arial"/>
        </w:rPr>
        <w:t>det første udkast var udspecificeret hvilke faggrupper</w:t>
      </w:r>
      <w:r w:rsidRPr="003A2B5B">
        <w:rPr>
          <w:rFonts w:ascii="Arial" w:hAnsi="Arial" w:cs="Arial"/>
        </w:rPr>
        <w:t xml:space="preserve"> (herunder også mulighed for at tilknytte en socialrådgiver)</w:t>
      </w:r>
      <w:r w:rsidRPr="003A2B5B">
        <w:rPr>
          <w:rFonts w:ascii="Arial" w:hAnsi="Arial" w:cs="Arial"/>
        </w:rPr>
        <w:t>, der skulle være til rådighed på hovedfunktionsniveau</w:t>
      </w:r>
      <w:r w:rsidRPr="003A2B5B">
        <w:rPr>
          <w:rFonts w:ascii="Arial" w:hAnsi="Arial" w:cs="Arial"/>
        </w:rPr>
        <w:t>. Der er ønske om, at dette</w:t>
      </w:r>
      <w:r w:rsidRPr="003A2B5B">
        <w:rPr>
          <w:rFonts w:ascii="Arial" w:hAnsi="Arial" w:cs="Arial"/>
        </w:rPr>
        <w:t xml:space="preserve"> indskrives</w:t>
      </w:r>
      <w:r w:rsidRPr="003A2B5B">
        <w:rPr>
          <w:rFonts w:ascii="Arial" w:hAnsi="Arial" w:cs="Arial"/>
        </w:rPr>
        <w:t xml:space="preserve"> i aftalen</w:t>
      </w:r>
      <w:r w:rsidRPr="003A2B5B">
        <w:rPr>
          <w:rFonts w:ascii="Arial" w:hAnsi="Arial" w:cs="Arial"/>
        </w:rPr>
        <w:t xml:space="preserve"> igen.</w:t>
      </w:r>
    </w:p>
    <w:p w14:paraId="10F08836" w14:textId="77777777" w:rsidR="0072036D" w:rsidRPr="005D7889" w:rsidRDefault="0072036D" w:rsidP="0072036D">
      <w:pPr>
        <w:pStyle w:val="Listeafsnit"/>
        <w:rPr>
          <w:rFonts w:ascii="Arial" w:hAnsi="Arial" w:cs="Arial"/>
        </w:rPr>
      </w:pPr>
    </w:p>
    <w:p w14:paraId="1274410F" w14:textId="75B3D9E4" w:rsidR="0072036D" w:rsidRPr="005D7889" w:rsidRDefault="0072036D" w:rsidP="0072036D">
      <w:pPr>
        <w:pStyle w:val="Listeafsnit"/>
        <w:numPr>
          <w:ilvl w:val="0"/>
          <w:numId w:val="7"/>
        </w:numPr>
        <w:rPr>
          <w:rFonts w:ascii="Arial" w:hAnsi="Arial" w:cs="Arial"/>
        </w:rPr>
      </w:pPr>
      <w:r w:rsidRPr="005D7889">
        <w:rPr>
          <w:rFonts w:ascii="Arial" w:hAnsi="Arial" w:cs="Arial"/>
        </w:rPr>
        <w:t>På side 13 mangler der en definition af at være ”færdigbehandlet/færdig udredt” og ”færdigrehabiliteret”.</w:t>
      </w:r>
    </w:p>
    <w:p w14:paraId="6966A36F" w14:textId="77777777" w:rsidR="00D45615" w:rsidRPr="005D7889" w:rsidRDefault="00D45615" w:rsidP="00D45615">
      <w:pPr>
        <w:pStyle w:val="Listeafsnit"/>
        <w:rPr>
          <w:rFonts w:ascii="Arial" w:hAnsi="Arial" w:cs="Arial"/>
        </w:rPr>
      </w:pPr>
    </w:p>
    <w:p w14:paraId="3CB0E5A4" w14:textId="77BF4EE8" w:rsidR="00D45615" w:rsidRPr="005D7889" w:rsidRDefault="00D45615" w:rsidP="00A216AB">
      <w:pPr>
        <w:pStyle w:val="Listeafsnit"/>
        <w:numPr>
          <w:ilvl w:val="0"/>
          <w:numId w:val="7"/>
        </w:numPr>
        <w:rPr>
          <w:rFonts w:ascii="Arial" w:hAnsi="Arial" w:cs="Arial"/>
        </w:rPr>
      </w:pPr>
      <w:r w:rsidRPr="005D7889">
        <w:rPr>
          <w:rFonts w:ascii="Arial" w:hAnsi="Arial" w:cs="Arial"/>
        </w:rPr>
        <w:t xml:space="preserve">På side 13 i sidste afsnit og på side 14 i første afsnit, står der, at ”Personer fra Odense Universitetshospital og Svendborg Sygehus overflyttes til </w:t>
      </w:r>
      <w:proofErr w:type="spellStart"/>
      <w:r w:rsidRPr="005D7889">
        <w:rPr>
          <w:rFonts w:ascii="Arial" w:hAnsi="Arial" w:cs="Arial"/>
        </w:rPr>
        <w:t>Neurorehabilitering</w:t>
      </w:r>
      <w:proofErr w:type="spellEnd"/>
      <w:r w:rsidRPr="005D7889">
        <w:rPr>
          <w:rFonts w:ascii="Arial" w:hAnsi="Arial" w:cs="Arial"/>
        </w:rPr>
        <w:t xml:space="preserve"> Svendborg”. Det ønskes tilføjet, at patienten, der skal overflyttes, forbliver på sygehuset i ventetiden.</w:t>
      </w:r>
    </w:p>
    <w:p w14:paraId="04BB0BA0" w14:textId="77777777" w:rsidR="00D45615" w:rsidRPr="005D7889" w:rsidRDefault="00D45615" w:rsidP="00D45615">
      <w:pPr>
        <w:pStyle w:val="Listeafsnit"/>
        <w:rPr>
          <w:rFonts w:ascii="Arial" w:hAnsi="Arial" w:cs="Arial"/>
        </w:rPr>
      </w:pPr>
    </w:p>
    <w:p w14:paraId="01430FA0" w14:textId="3EAF98A0" w:rsidR="00D45615" w:rsidRPr="005D7889" w:rsidRDefault="00D45615" w:rsidP="00A216AB">
      <w:pPr>
        <w:pStyle w:val="Listeafsnit"/>
        <w:numPr>
          <w:ilvl w:val="0"/>
          <w:numId w:val="7"/>
        </w:numPr>
        <w:rPr>
          <w:rFonts w:ascii="Arial" w:hAnsi="Arial" w:cs="Arial"/>
        </w:rPr>
      </w:pPr>
      <w:r w:rsidRPr="005D7889">
        <w:rPr>
          <w:rFonts w:ascii="Arial" w:hAnsi="Arial" w:cs="Arial"/>
        </w:rPr>
        <w:t>På Side 15 i andensidste afsnit står der: ”I de fleste perioder kan RHN modtage personer med erhvervet hjerneskade fra Region Syddanmark inden for syv dage efter henvisningen. Dog kan der være perioder med spidsbelastning, hvor dette ikke kan lade sig gøre.” Det ønskes også her tilføjet, at patienten, der skal overflyttes, forbliver på sygehuset i ventetiden.</w:t>
      </w:r>
    </w:p>
    <w:p w14:paraId="2EC4B964" w14:textId="77777777" w:rsidR="0072036D" w:rsidRPr="005D7889" w:rsidRDefault="0072036D" w:rsidP="0072036D">
      <w:pPr>
        <w:pStyle w:val="Listeafsnit"/>
        <w:rPr>
          <w:rFonts w:ascii="Arial" w:hAnsi="Arial" w:cs="Arial"/>
        </w:rPr>
      </w:pPr>
    </w:p>
    <w:p w14:paraId="6DCEB521" w14:textId="38BE7BCC" w:rsidR="002A1DC6" w:rsidRPr="005D7889" w:rsidRDefault="0072036D" w:rsidP="002A1DC6">
      <w:pPr>
        <w:pStyle w:val="Listeafsnit"/>
        <w:numPr>
          <w:ilvl w:val="0"/>
          <w:numId w:val="7"/>
        </w:numPr>
        <w:rPr>
          <w:rFonts w:ascii="Arial" w:hAnsi="Arial" w:cs="Arial"/>
        </w:rPr>
      </w:pPr>
      <w:r w:rsidRPr="005D7889">
        <w:rPr>
          <w:rFonts w:ascii="Arial" w:hAnsi="Arial" w:cs="Arial"/>
        </w:rPr>
        <w:t xml:space="preserve">På side 14 omkring </w:t>
      </w:r>
      <w:r w:rsidR="002A1DC6" w:rsidRPr="005D7889">
        <w:rPr>
          <w:rFonts w:ascii="Arial" w:hAnsi="Arial" w:cs="Arial"/>
        </w:rPr>
        <w:t>rehabiliterings</w:t>
      </w:r>
      <w:r w:rsidRPr="005D7889">
        <w:rPr>
          <w:rFonts w:ascii="Arial" w:hAnsi="Arial" w:cs="Arial"/>
        </w:rPr>
        <w:t>teknologier</w:t>
      </w:r>
      <w:r w:rsidR="002A1DC6" w:rsidRPr="005D7889">
        <w:rPr>
          <w:rFonts w:ascii="Arial" w:hAnsi="Arial" w:cs="Arial"/>
        </w:rPr>
        <w:t xml:space="preserve"> ønskes der uddybende information om, hvorvidt der er</w:t>
      </w:r>
      <w:r w:rsidRPr="005D7889">
        <w:rPr>
          <w:rFonts w:ascii="Arial" w:hAnsi="Arial" w:cs="Arial"/>
        </w:rPr>
        <w:t xml:space="preserve"> en strategi for hvilke teknologier regioner og kommuner anbefaler at benytte til målgruppen</w:t>
      </w:r>
      <w:r w:rsidR="002A1DC6" w:rsidRPr="005D7889">
        <w:rPr>
          <w:rFonts w:ascii="Arial" w:hAnsi="Arial" w:cs="Arial"/>
        </w:rPr>
        <w:t xml:space="preserve"> samt hvorvidt disse ka</w:t>
      </w:r>
      <w:r w:rsidRPr="005D7889">
        <w:rPr>
          <w:rFonts w:ascii="Arial" w:hAnsi="Arial" w:cs="Arial"/>
        </w:rPr>
        <w:t>n skabe sammenhængskraft i overgangene</w:t>
      </w:r>
      <w:r w:rsidR="002A1DC6" w:rsidRPr="005D7889">
        <w:rPr>
          <w:rFonts w:ascii="Arial" w:hAnsi="Arial" w:cs="Arial"/>
        </w:rPr>
        <w:t>.</w:t>
      </w:r>
    </w:p>
    <w:p w14:paraId="33806F05" w14:textId="77777777" w:rsidR="002A1DC6" w:rsidRPr="005D7889" w:rsidRDefault="002A1DC6" w:rsidP="002A1DC6">
      <w:pPr>
        <w:pStyle w:val="Listeafsnit"/>
        <w:rPr>
          <w:rFonts w:ascii="Arial" w:hAnsi="Arial" w:cs="Arial"/>
        </w:rPr>
      </w:pPr>
    </w:p>
    <w:p w14:paraId="1305ABDB" w14:textId="3FAEE47D" w:rsidR="00E32F0B" w:rsidRPr="005D7889" w:rsidRDefault="002A1DC6" w:rsidP="002A1DC6">
      <w:pPr>
        <w:pStyle w:val="Listeafsnit"/>
        <w:numPr>
          <w:ilvl w:val="0"/>
          <w:numId w:val="7"/>
        </w:numPr>
        <w:rPr>
          <w:rFonts w:ascii="Arial" w:hAnsi="Arial" w:cs="Arial"/>
        </w:rPr>
      </w:pPr>
      <w:r w:rsidRPr="005D7889">
        <w:rPr>
          <w:rFonts w:ascii="Arial" w:hAnsi="Arial" w:cs="Arial"/>
        </w:rPr>
        <w:t xml:space="preserve">På </w:t>
      </w:r>
      <w:r w:rsidR="008B19F6" w:rsidRPr="005D7889">
        <w:rPr>
          <w:rFonts w:ascii="Arial" w:hAnsi="Arial" w:cs="Arial"/>
        </w:rPr>
        <w:t>side 16</w:t>
      </w:r>
      <w:r w:rsidR="00E71648" w:rsidRPr="005D7889">
        <w:rPr>
          <w:rFonts w:ascii="Arial" w:hAnsi="Arial" w:cs="Arial"/>
        </w:rPr>
        <w:t xml:space="preserve"> ønskes det skrevet tydeligere frem, at der også bør ske løbende kommunikation mellem Hammel </w:t>
      </w:r>
      <w:proofErr w:type="spellStart"/>
      <w:r w:rsidR="008B19F6" w:rsidRPr="005D7889">
        <w:rPr>
          <w:rFonts w:ascii="Arial" w:hAnsi="Arial" w:cs="Arial"/>
        </w:rPr>
        <w:t>Neurocenter</w:t>
      </w:r>
      <w:proofErr w:type="spellEnd"/>
      <w:r w:rsidR="008B19F6" w:rsidRPr="005D7889">
        <w:rPr>
          <w:rFonts w:ascii="Arial" w:hAnsi="Arial" w:cs="Arial"/>
        </w:rPr>
        <w:t xml:space="preserve"> og hjemkommunen angående borgerens funktionsevne, prognose og potentiale, som kan danne grundlag for borgers videre genoptræning og rehabilitering i hjemkommunen.</w:t>
      </w:r>
    </w:p>
    <w:p w14:paraId="2F9D099E" w14:textId="77777777" w:rsidR="00E71648" w:rsidRPr="005D7889" w:rsidRDefault="00E71648" w:rsidP="00E71648">
      <w:pPr>
        <w:pStyle w:val="Listeafsnit"/>
        <w:rPr>
          <w:rFonts w:ascii="Arial" w:hAnsi="Arial" w:cs="Arial"/>
        </w:rPr>
      </w:pPr>
    </w:p>
    <w:p w14:paraId="0E1CFFF8" w14:textId="612FE3F6" w:rsidR="00D45615" w:rsidRPr="005D7889" w:rsidRDefault="008B19F6" w:rsidP="00D45615">
      <w:pPr>
        <w:pStyle w:val="Listeafsnit"/>
        <w:numPr>
          <w:ilvl w:val="0"/>
          <w:numId w:val="7"/>
        </w:numPr>
        <w:rPr>
          <w:rFonts w:ascii="Arial" w:hAnsi="Arial" w:cs="Arial"/>
        </w:rPr>
      </w:pPr>
      <w:r w:rsidRPr="005D7889">
        <w:rPr>
          <w:rFonts w:ascii="Arial" w:hAnsi="Arial" w:cs="Arial"/>
        </w:rPr>
        <w:t xml:space="preserve">På side 16 under afsnit 5.3.1 står der, at en borger med erhvervet hjerneskade kan få udfærdiget en neuropsykologisk undersøgelse inden for et halvt år efter udskrivelse. Kommunerne peger på, at der kan opleves en lang ventetid på neuropsykologisk udredning – sommetider op til et år – og stiller sig derfor kritiske overfor denne tidsgrænse. </w:t>
      </w:r>
      <w:r w:rsidR="00D45615" w:rsidRPr="005D7889">
        <w:rPr>
          <w:rFonts w:ascii="Arial" w:hAnsi="Arial" w:cs="Arial"/>
        </w:rPr>
        <w:t xml:space="preserve">Det </w:t>
      </w:r>
      <w:r w:rsidR="00D45615" w:rsidRPr="005D7889">
        <w:rPr>
          <w:rFonts w:ascii="Arial" w:hAnsi="Arial" w:cs="Arial"/>
        </w:rPr>
        <w:lastRenderedPageBreak/>
        <w:t>fremgår desuden ikke, hvem der har ansvaret for at borgeren får lavet en neuropsykologisk vurdering, hvis der går mere end seks måneder fra udskrivelsestidspunktet. Såfremt ansvaret tilfalder kommunerne, kan man fra kommunal side ikke bakke op om den del af samarbejdsaftalen.</w:t>
      </w:r>
    </w:p>
    <w:p w14:paraId="679D6976" w14:textId="77777777" w:rsidR="002A1DC6" w:rsidRPr="005D7889" w:rsidRDefault="002A1DC6" w:rsidP="002A1DC6">
      <w:pPr>
        <w:pStyle w:val="Listeafsnit"/>
        <w:rPr>
          <w:rFonts w:ascii="Arial" w:hAnsi="Arial" w:cs="Arial"/>
        </w:rPr>
      </w:pPr>
    </w:p>
    <w:p w14:paraId="039826D5" w14:textId="20CC0D5C" w:rsidR="002A1DC6" w:rsidRPr="005D7889" w:rsidRDefault="002A1DC6" w:rsidP="002A1DC6">
      <w:pPr>
        <w:pStyle w:val="Listeafsnit"/>
        <w:numPr>
          <w:ilvl w:val="0"/>
          <w:numId w:val="7"/>
        </w:numPr>
        <w:rPr>
          <w:rFonts w:ascii="Arial" w:hAnsi="Arial" w:cs="Arial"/>
        </w:rPr>
      </w:pPr>
      <w:r w:rsidRPr="005D7889">
        <w:rPr>
          <w:rFonts w:ascii="Arial" w:hAnsi="Arial" w:cs="Arial"/>
        </w:rPr>
        <w:t>På side 16 og 17 under samme afsnit ønskes det fremhævet, at der skal være opmærksomhed på at få aftalt, hvem der har hvilke roller og ansvar i forløbet, da borger med erhvervet hjerneskade ikke altid er i stand til at koordinere dette.</w:t>
      </w:r>
    </w:p>
    <w:p w14:paraId="1B57D3DA" w14:textId="544A403C" w:rsidR="002A1DC6" w:rsidRDefault="002A1DC6" w:rsidP="002A1DC6">
      <w:pPr>
        <w:pStyle w:val="Listeafsnit"/>
        <w:rPr>
          <w:rFonts w:ascii="Arial" w:hAnsi="Arial" w:cs="Arial"/>
        </w:rPr>
      </w:pPr>
    </w:p>
    <w:p w14:paraId="708A6E60" w14:textId="7AE04A22" w:rsidR="003A2B5B" w:rsidRPr="003A2B5B" w:rsidRDefault="003A2B5B" w:rsidP="003A2B5B">
      <w:pPr>
        <w:pStyle w:val="Listeafsnit"/>
        <w:numPr>
          <w:ilvl w:val="0"/>
          <w:numId w:val="7"/>
        </w:numPr>
        <w:rPr>
          <w:rFonts w:ascii="Arial" w:hAnsi="Arial" w:cs="Arial"/>
        </w:rPr>
      </w:pPr>
      <w:r w:rsidRPr="003A2B5B">
        <w:rPr>
          <w:rFonts w:ascii="Arial" w:hAnsi="Arial" w:cs="Arial"/>
        </w:rPr>
        <w:t>På side 18</w:t>
      </w:r>
      <w:r w:rsidRPr="003A2B5B">
        <w:rPr>
          <w:rFonts w:ascii="Arial" w:hAnsi="Arial" w:cs="Arial"/>
        </w:rPr>
        <w:t xml:space="preserve"> under</w:t>
      </w:r>
      <w:r w:rsidRPr="003A2B5B">
        <w:rPr>
          <w:rFonts w:ascii="Arial" w:hAnsi="Arial" w:cs="Arial"/>
        </w:rPr>
        <w:t xml:space="preserve"> </w:t>
      </w:r>
      <w:r w:rsidRPr="003A2B5B">
        <w:rPr>
          <w:rFonts w:ascii="Arial" w:hAnsi="Arial" w:cs="Arial"/>
        </w:rPr>
        <w:t>afsnit</w:t>
      </w:r>
      <w:r w:rsidRPr="003A2B5B">
        <w:rPr>
          <w:rFonts w:ascii="Arial" w:hAnsi="Arial" w:cs="Arial"/>
        </w:rPr>
        <w:t xml:space="preserve"> 6.1</w:t>
      </w:r>
      <w:r w:rsidRPr="003A2B5B">
        <w:rPr>
          <w:rFonts w:ascii="Arial" w:hAnsi="Arial" w:cs="Arial"/>
        </w:rPr>
        <w:t xml:space="preserve"> er d</w:t>
      </w:r>
      <w:r w:rsidRPr="003A2B5B">
        <w:rPr>
          <w:rFonts w:ascii="Arial" w:hAnsi="Arial" w:cs="Arial"/>
        </w:rPr>
        <w:t>et vigtigt, at der i forbindelse med angivelse af specialiseringsniveauet også følger beskrivelser af, hvordan den eventuelle specialerede rehabilitering bedst udmøntes, da det ellers kan blive svært for kommunerne at finde det bedst egnede tilbud til borgeren ved udskrivelse.</w:t>
      </w:r>
    </w:p>
    <w:p w14:paraId="3F8F1E4E" w14:textId="77777777" w:rsidR="003A2B5B" w:rsidRPr="005D7889" w:rsidRDefault="003A2B5B" w:rsidP="002A1DC6">
      <w:pPr>
        <w:pStyle w:val="Listeafsnit"/>
        <w:rPr>
          <w:rFonts w:ascii="Arial" w:hAnsi="Arial" w:cs="Arial"/>
        </w:rPr>
      </w:pPr>
    </w:p>
    <w:p w14:paraId="054949B5" w14:textId="27F2FD01" w:rsidR="002A1DC6" w:rsidRPr="005D7889" w:rsidRDefault="002A1DC6" w:rsidP="005D7889">
      <w:pPr>
        <w:pStyle w:val="Listeafsnit"/>
        <w:numPr>
          <w:ilvl w:val="0"/>
          <w:numId w:val="7"/>
        </w:numPr>
        <w:rPr>
          <w:rFonts w:ascii="Arial" w:hAnsi="Arial" w:cs="Arial"/>
        </w:rPr>
      </w:pPr>
      <w:r w:rsidRPr="005D7889">
        <w:rPr>
          <w:rFonts w:ascii="Arial" w:eastAsia="Calibri" w:hAnsi="Arial" w:cs="Arial"/>
        </w:rPr>
        <w:t>På side 20 under afsnittet om brugerinddragelse er der ønske om at specificere dette</w:t>
      </w:r>
      <w:r w:rsidR="005D7889" w:rsidRPr="005D7889">
        <w:rPr>
          <w:rFonts w:ascii="Arial" w:eastAsia="Calibri" w:hAnsi="Arial" w:cs="Arial"/>
        </w:rPr>
        <w:t xml:space="preserve"> yderligere</w:t>
      </w:r>
      <w:r w:rsidRPr="005D7889">
        <w:rPr>
          <w:rFonts w:ascii="Arial" w:eastAsia="Calibri" w:hAnsi="Arial" w:cs="Arial"/>
        </w:rPr>
        <w:t xml:space="preserve"> </w:t>
      </w:r>
      <w:r w:rsidR="005D7889" w:rsidRPr="005D7889">
        <w:rPr>
          <w:rFonts w:ascii="Arial" w:eastAsia="Calibri" w:hAnsi="Arial" w:cs="Arial"/>
        </w:rPr>
        <w:t>i overensstemmelse med</w:t>
      </w:r>
      <w:r w:rsidRPr="005D7889">
        <w:rPr>
          <w:rFonts w:ascii="Arial" w:eastAsia="Calibri" w:hAnsi="Arial" w:cs="Arial"/>
        </w:rPr>
        <w:t xml:space="preserve"> Hvidbogen</w:t>
      </w:r>
      <w:r w:rsidR="005D7889" w:rsidRPr="005D7889">
        <w:rPr>
          <w:rFonts w:ascii="Arial" w:eastAsia="Calibri" w:hAnsi="Arial" w:cs="Arial"/>
        </w:rPr>
        <w:t xml:space="preserve"> for rehabilitering</w:t>
      </w:r>
      <w:r w:rsidRPr="005D7889">
        <w:rPr>
          <w:rFonts w:ascii="Arial" w:eastAsia="Calibri" w:hAnsi="Arial" w:cs="Arial"/>
        </w:rPr>
        <w:t xml:space="preserve">. Dette med formålet om at mindske variationen i forståelsen af begrebet. </w:t>
      </w:r>
    </w:p>
    <w:p w14:paraId="7D5613FE" w14:textId="77777777" w:rsidR="005D7889" w:rsidRPr="005D7889" w:rsidRDefault="00D45615" w:rsidP="005D7889">
      <w:pPr>
        <w:numPr>
          <w:ilvl w:val="0"/>
          <w:numId w:val="8"/>
        </w:numPr>
        <w:spacing w:before="100" w:beforeAutospacing="1" w:after="100" w:afterAutospacing="1"/>
        <w:rPr>
          <w:rFonts w:ascii="Times New Roman" w:eastAsia="Times New Roman" w:hAnsi="Times New Roman" w:cs="Times New Roman"/>
          <w:sz w:val="24"/>
          <w:szCs w:val="24"/>
          <w:lang w:eastAsia="da-DK"/>
        </w:rPr>
      </w:pPr>
      <w:r>
        <w:rPr>
          <w:rFonts w:ascii="Arial" w:hAnsi="Arial" w:cs="Arial"/>
        </w:rPr>
        <w:t xml:space="preserve">Kommunerne ser frem til </w:t>
      </w:r>
      <w:r w:rsidRPr="00D45615">
        <w:rPr>
          <w:rFonts w:ascii="Arial" w:hAnsi="Arial" w:cs="Arial"/>
        </w:rPr>
        <w:t>initiativerne omkring fælles kompetenceudvikling</w:t>
      </w:r>
      <w:r w:rsidR="002A1DC6">
        <w:rPr>
          <w:rFonts w:ascii="Arial" w:hAnsi="Arial" w:cs="Arial"/>
        </w:rPr>
        <w:t xml:space="preserve"> og opfordrer til, at der indtænkes nye former for behandling og test</w:t>
      </w:r>
      <w:r w:rsidR="005D7889">
        <w:rPr>
          <w:rFonts w:ascii="Arial" w:hAnsi="Arial" w:cs="Arial"/>
        </w:rPr>
        <w:t>, der kan anvendes på sygehusene.</w:t>
      </w:r>
      <w:r w:rsidR="002A1DC6">
        <w:rPr>
          <w:rFonts w:ascii="Arial" w:hAnsi="Arial" w:cs="Arial"/>
        </w:rPr>
        <w:t xml:space="preserve"> </w:t>
      </w:r>
    </w:p>
    <w:p w14:paraId="661A5BA5" w14:textId="77777777" w:rsidR="005D7889" w:rsidRDefault="005D7889" w:rsidP="005D7889">
      <w:pPr>
        <w:spacing w:before="100" w:beforeAutospacing="1" w:after="100" w:afterAutospacing="1"/>
        <w:ind w:left="720"/>
        <w:rPr>
          <w:rFonts w:ascii="Times New Roman" w:eastAsia="Times New Roman" w:hAnsi="Times New Roman" w:cs="Times New Roman"/>
          <w:sz w:val="24"/>
          <w:szCs w:val="24"/>
          <w:lang w:eastAsia="da-DK"/>
        </w:rPr>
      </w:pPr>
    </w:p>
    <w:p w14:paraId="01C136D1" w14:textId="1ED4A913" w:rsidR="001E19ED" w:rsidRPr="005D7889" w:rsidRDefault="001E19ED" w:rsidP="005D7889">
      <w:pPr>
        <w:spacing w:before="100" w:beforeAutospacing="1" w:after="100" w:afterAutospacing="1"/>
        <w:ind w:left="720"/>
        <w:rPr>
          <w:rFonts w:ascii="Times New Roman" w:eastAsia="Times New Roman" w:hAnsi="Times New Roman" w:cs="Times New Roman"/>
          <w:sz w:val="24"/>
          <w:szCs w:val="24"/>
          <w:lang w:eastAsia="da-DK"/>
        </w:rPr>
      </w:pPr>
      <w:r w:rsidRPr="005D7889">
        <w:rPr>
          <w:rFonts w:ascii="Arial" w:hAnsi="Arial" w:cs="Arial"/>
        </w:rPr>
        <w:t>På vegne af de syddanske kommuner.</w:t>
      </w:r>
    </w:p>
    <w:sectPr w:rsidR="001E19ED" w:rsidRPr="005D7889" w:rsidSect="007C0DD6">
      <w:headerReference w:type="default" r:id="rId11"/>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66F6" w14:textId="77777777" w:rsidR="00900957" w:rsidRDefault="00900957" w:rsidP="00900957">
      <w:pPr>
        <w:spacing w:after="0" w:line="240" w:lineRule="auto"/>
      </w:pPr>
      <w:r>
        <w:separator/>
      </w:r>
    </w:p>
  </w:endnote>
  <w:endnote w:type="continuationSeparator" w:id="0">
    <w:p w14:paraId="7FADC8E3" w14:textId="77777777" w:rsidR="00900957" w:rsidRDefault="00900957" w:rsidP="0090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434B" w14:textId="77777777" w:rsidR="00900957" w:rsidRDefault="00900957" w:rsidP="00900957">
      <w:pPr>
        <w:spacing w:after="0" w:line="240" w:lineRule="auto"/>
      </w:pPr>
      <w:r>
        <w:separator/>
      </w:r>
    </w:p>
  </w:footnote>
  <w:footnote w:type="continuationSeparator" w:id="0">
    <w:p w14:paraId="026D8ADD" w14:textId="77777777" w:rsidR="00900957" w:rsidRDefault="00900957" w:rsidP="0090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3EA0" w14:textId="28833DF0" w:rsidR="00900957" w:rsidRDefault="00CA53B5" w:rsidP="00CA53B5">
    <w:pPr>
      <w:pStyle w:val="Sidehoved"/>
      <w:jc w:val="right"/>
    </w:pPr>
    <w:r>
      <w:rPr>
        <w:noProof/>
        <w:lang w:eastAsia="da-DK"/>
      </w:rPr>
      <w:drawing>
        <wp:anchor distT="0" distB="0" distL="114300" distR="114300" simplePos="0" relativeHeight="251657216" behindDoc="0" locked="0" layoutInCell="1" allowOverlap="1" wp14:anchorId="11EB1FF8" wp14:editId="57B903E5">
          <wp:simplePos x="0" y="0"/>
          <wp:positionH relativeFrom="margin">
            <wp:align>left</wp:align>
          </wp:positionH>
          <wp:positionV relativeFrom="paragraph">
            <wp:posOffset>-116205</wp:posOffset>
          </wp:positionV>
          <wp:extent cx="2219325" cy="514350"/>
          <wp:effectExtent l="0" t="0" r="9525" b="0"/>
          <wp:wrapThrough wrapText="bothSides">
            <wp:wrapPolygon edited="0">
              <wp:start x="1112" y="0"/>
              <wp:lineTo x="0" y="4000"/>
              <wp:lineTo x="0" y="20800"/>
              <wp:lineTo x="3708" y="20800"/>
              <wp:lineTo x="5006" y="20800"/>
              <wp:lineTo x="21507" y="19200"/>
              <wp:lineTo x="21507" y="0"/>
              <wp:lineTo x="3523" y="0"/>
              <wp:lineTo x="1112" y="0"/>
            </wp:wrapPolygon>
          </wp:wrapThrough>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219325"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725"/>
    <w:multiLevelType w:val="hybridMultilevel"/>
    <w:tmpl w:val="09208C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B03F07"/>
    <w:multiLevelType w:val="multilevel"/>
    <w:tmpl w:val="4D3ED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A4DCB"/>
    <w:multiLevelType w:val="hybridMultilevel"/>
    <w:tmpl w:val="0E54F3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E61F8C"/>
    <w:multiLevelType w:val="hybridMultilevel"/>
    <w:tmpl w:val="DFF2F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05F0FCE"/>
    <w:multiLevelType w:val="hybridMultilevel"/>
    <w:tmpl w:val="1C4E4E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DE04B2"/>
    <w:multiLevelType w:val="multilevel"/>
    <w:tmpl w:val="458A35EC"/>
    <w:lvl w:ilvl="0">
      <w:start w:val="1"/>
      <w:numFmt w:val="bullet"/>
      <w:lvlText w:val="–"/>
      <w:lvlJc w:val="left"/>
      <w:pPr>
        <w:ind w:left="227" w:hanging="227"/>
      </w:pPr>
      <w:rPr>
        <w:rFonts w:ascii="Arial" w:hAnsi="Aria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57050C3"/>
    <w:multiLevelType w:val="hybridMultilevel"/>
    <w:tmpl w:val="1FAEE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1D558C"/>
    <w:multiLevelType w:val="hybridMultilevel"/>
    <w:tmpl w:val="865CDA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63312011">
    <w:abstractNumId w:val="6"/>
  </w:num>
  <w:num w:numId="2" w16cid:durableId="1323199646">
    <w:abstractNumId w:val="3"/>
  </w:num>
  <w:num w:numId="3" w16cid:durableId="641695278">
    <w:abstractNumId w:val="4"/>
  </w:num>
  <w:num w:numId="4" w16cid:durableId="628635905">
    <w:abstractNumId w:val="5"/>
  </w:num>
  <w:num w:numId="5" w16cid:durableId="1007369993">
    <w:abstractNumId w:val="2"/>
  </w:num>
  <w:num w:numId="6" w16cid:durableId="1351763632">
    <w:abstractNumId w:val="0"/>
  </w:num>
  <w:num w:numId="7" w16cid:durableId="1433626633">
    <w:abstractNumId w:val="7"/>
  </w:num>
  <w:num w:numId="8" w16cid:durableId="758258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B6"/>
    <w:rsid w:val="000419AA"/>
    <w:rsid w:val="0008036C"/>
    <w:rsid w:val="000D4331"/>
    <w:rsid w:val="00105E79"/>
    <w:rsid w:val="00142634"/>
    <w:rsid w:val="001B3605"/>
    <w:rsid w:val="001E19ED"/>
    <w:rsid w:val="00207AEC"/>
    <w:rsid w:val="0024013C"/>
    <w:rsid w:val="002810BA"/>
    <w:rsid w:val="0029617E"/>
    <w:rsid w:val="002A1DC6"/>
    <w:rsid w:val="002C2B52"/>
    <w:rsid w:val="002D1C82"/>
    <w:rsid w:val="0031683F"/>
    <w:rsid w:val="00331E25"/>
    <w:rsid w:val="003A2B5B"/>
    <w:rsid w:val="003B6B0A"/>
    <w:rsid w:val="003C1682"/>
    <w:rsid w:val="00416054"/>
    <w:rsid w:val="004277BA"/>
    <w:rsid w:val="004309E8"/>
    <w:rsid w:val="00433E10"/>
    <w:rsid w:val="004636CB"/>
    <w:rsid w:val="004A67B7"/>
    <w:rsid w:val="004C50DE"/>
    <w:rsid w:val="004D729A"/>
    <w:rsid w:val="004E45E2"/>
    <w:rsid w:val="00515B1D"/>
    <w:rsid w:val="00552BB7"/>
    <w:rsid w:val="005920BD"/>
    <w:rsid w:val="005B6230"/>
    <w:rsid w:val="005D7889"/>
    <w:rsid w:val="006519A8"/>
    <w:rsid w:val="00687F20"/>
    <w:rsid w:val="006C2571"/>
    <w:rsid w:val="006D5A1B"/>
    <w:rsid w:val="006E6FF0"/>
    <w:rsid w:val="006F78AF"/>
    <w:rsid w:val="00714789"/>
    <w:rsid w:val="0072036D"/>
    <w:rsid w:val="00750262"/>
    <w:rsid w:val="007C0DD6"/>
    <w:rsid w:val="007D1CAF"/>
    <w:rsid w:val="007F0D38"/>
    <w:rsid w:val="00842374"/>
    <w:rsid w:val="00873393"/>
    <w:rsid w:val="00882C69"/>
    <w:rsid w:val="008B19F6"/>
    <w:rsid w:val="00900957"/>
    <w:rsid w:val="00901736"/>
    <w:rsid w:val="009223DC"/>
    <w:rsid w:val="009E1DDF"/>
    <w:rsid w:val="009E25DE"/>
    <w:rsid w:val="00A216AB"/>
    <w:rsid w:val="00A35222"/>
    <w:rsid w:val="00A3655D"/>
    <w:rsid w:val="00A718FD"/>
    <w:rsid w:val="00AA50B1"/>
    <w:rsid w:val="00AC4C94"/>
    <w:rsid w:val="00B06748"/>
    <w:rsid w:val="00B26F41"/>
    <w:rsid w:val="00B41124"/>
    <w:rsid w:val="00B90D10"/>
    <w:rsid w:val="00B90FEA"/>
    <w:rsid w:val="00B92B7E"/>
    <w:rsid w:val="00BB00A2"/>
    <w:rsid w:val="00BB18AF"/>
    <w:rsid w:val="00C40E5D"/>
    <w:rsid w:val="00C410B7"/>
    <w:rsid w:val="00C65BB7"/>
    <w:rsid w:val="00CA53B5"/>
    <w:rsid w:val="00D26EFE"/>
    <w:rsid w:val="00D45615"/>
    <w:rsid w:val="00DD1AB7"/>
    <w:rsid w:val="00DE0D14"/>
    <w:rsid w:val="00DF0DB6"/>
    <w:rsid w:val="00E03D54"/>
    <w:rsid w:val="00E15751"/>
    <w:rsid w:val="00E159F9"/>
    <w:rsid w:val="00E32F0B"/>
    <w:rsid w:val="00E71648"/>
    <w:rsid w:val="00E86823"/>
    <w:rsid w:val="00EA21A5"/>
    <w:rsid w:val="00EB1DF7"/>
    <w:rsid w:val="00F702EA"/>
    <w:rsid w:val="00F703BB"/>
    <w:rsid w:val="00FA1895"/>
    <w:rsid w:val="00FC00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AF6B24"/>
  <w15:docId w15:val="{78260ED2-D7E4-40A1-B80D-34B0C8A4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26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009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0957"/>
  </w:style>
  <w:style w:type="paragraph" w:styleId="Sidefod">
    <w:name w:val="footer"/>
    <w:basedOn w:val="Normal"/>
    <w:link w:val="SidefodTegn"/>
    <w:uiPriority w:val="99"/>
    <w:unhideWhenUsed/>
    <w:rsid w:val="0090095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0957"/>
  </w:style>
  <w:style w:type="paragraph" w:styleId="Listeafsnit">
    <w:name w:val="List Paragraph"/>
    <w:basedOn w:val="Normal"/>
    <w:uiPriority w:val="34"/>
    <w:qFormat/>
    <w:rsid w:val="000D4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2103">
      <w:bodyDiv w:val="1"/>
      <w:marLeft w:val="0"/>
      <w:marRight w:val="0"/>
      <w:marTop w:val="0"/>
      <w:marBottom w:val="0"/>
      <w:divBdr>
        <w:top w:val="none" w:sz="0" w:space="0" w:color="auto"/>
        <w:left w:val="none" w:sz="0" w:space="0" w:color="auto"/>
        <w:bottom w:val="none" w:sz="0" w:space="0" w:color="auto"/>
        <w:right w:val="none" w:sz="0" w:space="0" w:color="auto"/>
      </w:divBdr>
    </w:div>
    <w:div w:id="1130786975">
      <w:bodyDiv w:val="1"/>
      <w:marLeft w:val="0"/>
      <w:marRight w:val="0"/>
      <w:marTop w:val="0"/>
      <w:marBottom w:val="0"/>
      <w:divBdr>
        <w:top w:val="none" w:sz="0" w:space="0" w:color="auto"/>
        <w:left w:val="none" w:sz="0" w:space="0" w:color="auto"/>
        <w:bottom w:val="none" w:sz="0" w:space="0" w:color="auto"/>
        <w:right w:val="none" w:sz="0" w:space="0" w:color="auto"/>
      </w:divBdr>
    </w:div>
    <w:div w:id="1313411218">
      <w:bodyDiv w:val="1"/>
      <w:marLeft w:val="0"/>
      <w:marRight w:val="0"/>
      <w:marTop w:val="0"/>
      <w:marBottom w:val="0"/>
      <w:divBdr>
        <w:top w:val="none" w:sz="0" w:space="0" w:color="auto"/>
        <w:left w:val="none" w:sz="0" w:space="0" w:color="auto"/>
        <w:bottom w:val="none" w:sz="0" w:space="0" w:color="auto"/>
        <w:right w:val="none" w:sz="0" w:space="0" w:color="auto"/>
      </w:divBdr>
    </w:div>
    <w:div w:id="1543439690">
      <w:bodyDiv w:val="1"/>
      <w:marLeft w:val="0"/>
      <w:marRight w:val="0"/>
      <w:marTop w:val="0"/>
      <w:marBottom w:val="0"/>
      <w:divBdr>
        <w:top w:val="none" w:sz="0" w:space="0" w:color="auto"/>
        <w:left w:val="none" w:sz="0" w:space="0" w:color="auto"/>
        <w:bottom w:val="none" w:sz="0" w:space="0" w:color="auto"/>
        <w:right w:val="none" w:sz="0" w:space="0" w:color="auto"/>
      </w:divBdr>
    </w:div>
    <w:div w:id="1577860749">
      <w:bodyDiv w:val="1"/>
      <w:marLeft w:val="0"/>
      <w:marRight w:val="0"/>
      <w:marTop w:val="0"/>
      <w:marBottom w:val="0"/>
      <w:divBdr>
        <w:top w:val="none" w:sz="0" w:space="0" w:color="auto"/>
        <w:left w:val="none" w:sz="0" w:space="0" w:color="auto"/>
        <w:bottom w:val="none" w:sz="0" w:space="0" w:color="auto"/>
        <w:right w:val="none" w:sz="0" w:space="0" w:color="auto"/>
      </w:divBdr>
    </w:div>
    <w:div w:id="1624769167">
      <w:bodyDiv w:val="1"/>
      <w:marLeft w:val="0"/>
      <w:marRight w:val="0"/>
      <w:marTop w:val="0"/>
      <w:marBottom w:val="0"/>
      <w:divBdr>
        <w:top w:val="none" w:sz="0" w:space="0" w:color="auto"/>
        <w:left w:val="none" w:sz="0" w:space="0" w:color="auto"/>
        <w:bottom w:val="none" w:sz="0" w:space="0" w:color="auto"/>
        <w:right w:val="none" w:sz="0" w:space="0" w:color="auto"/>
      </w:divBdr>
    </w:div>
    <w:div w:id="18279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1EA9F0F42B42459F2D22D18D2EDFD7" ma:contentTypeVersion="12" ma:contentTypeDescription="Opret et nyt dokument." ma:contentTypeScope="" ma:versionID="25cea1473737b3c3527d9fb74c8a173b">
  <xsd:schema xmlns:xsd="http://www.w3.org/2001/XMLSchema" xmlns:xs="http://www.w3.org/2001/XMLSchema" xmlns:p="http://schemas.microsoft.com/office/2006/metadata/properties" xmlns:ns2="ac9c5f11-17a9-42ca-ab84-af8c66590773" xmlns:ns3="b88927ae-04b4-41dc-9b19-6ce0bfbf9213" targetNamespace="http://schemas.microsoft.com/office/2006/metadata/properties" ma:root="true" ma:fieldsID="f6e866121960445b575f14eb6ea6a0bd" ns2:_="" ns3:_="">
    <xsd:import namespace="ac9c5f11-17a9-42ca-ab84-af8c66590773"/>
    <xsd:import namespace="b88927ae-04b4-41dc-9b19-6ce0bfbf9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c5f11-17a9-42ca-ab84-af8c6659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927ae-04b4-41dc-9b19-6ce0bfbf921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E4F6A-C944-44BA-92A4-E4C80A143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c5f11-17a9-42ca-ab84-af8c66590773"/>
    <ds:schemaRef ds:uri="b88927ae-04b4-41dc-9b19-6ce0bfbf9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A2755-0DF9-4E93-9714-7D229B6C0BAA}">
  <ds:schemaRefs>
    <ds:schemaRef ds:uri="http://www.w3.org/XML/1998/namespace"/>
    <ds:schemaRef ds:uri="b88927ae-04b4-41dc-9b19-6ce0bfbf9213"/>
    <ds:schemaRef ds:uri="ac9c5f11-17a9-42ca-ab84-af8c66590773"/>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0797552-EC1D-4B1E-A45E-0D823C51CB63}">
  <ds:schemaRefs>
    <ds:schemaRef ds:uri="http://schemas.openxmlformats.org/officeDocument/2006/bibliography"/>
  </ds:schemaRefs>
</ds:datastoreItem>
</file>

<file path=customXml/itemProps4.xml><?xml version="1.0" encoding="utf-8"?>
<ds:datastoreItem xmlns:ds="http://schemas.openxmlformats.org/officeDocument/2006/customXml" ds:itemID="{8254823F-20F1-4422-AA6B-88D3292BD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922</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Mandau</dc:creator>
  <cp:lastModifiedBy>Tina Holmgaard Juul</cp:lastModifiedBy>
  <cp:revision>12</cp:revision>
  <cp:lastPrinted>2022-12-05T10:30:00Z</cp:lastPrinted>
  <dcterms:created xsi:type="dcterms:W3CDTF">2023-03-14T13:45:00Z</dcterms:created>
  <dcterms:modified xsi:type="dcterms:W3CDTF">2023-03-23T21:13:00Z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0x0101001F1EA9F0F42B42459F2D22D18D2EDFD7</vt:lpwstr>
  </property>
  <property fmtid="{D5CDD505-2E9C-101B-9397-08002B2CF9AE}" pid="3" name="OfficeInstanceGUID">
    <vt:lpwstr>{EF3FBBA3-3913-4F9C-BEEB-28DC3C449E41}</vt:lpwstr>
  </property>
</Properties>
</file>