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80FF" w14:textId="5BE11A98" w:rsidR="000D5A9B" w:rsidRDefault="0041120A" w:rsidP="0041120A">
      <w:pPr>
        <w:rPr>
          <w:noProof/>
        </w:rPr>
      </w:pPr>
      <w:r>
        <w:rPr>
          <w:noProof/>
        </w:rPr>
        <mc:AlternateContent>
          <mc:Choice Requires="cx1">
            <w:drawing>
              <wp:inline distT="0" distB="0" distL="0" distR="0" wp14:anchorId="2CA06724" wp14:editId="62437A6C">
                <wp:extent cx="6972300" cy="6924675"/>
                <wp:effectExtent l="0" t="0" r="0" b="9525"/>
                <wp:docPr id="1" name="Diagram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</wp:inline>
            </w:drawing>
          </mc:Choice>
          <mc:Fallback>
            <w:drawing>
              <wp:inline distT="0" distB="0" distL="0" distR="0" wp14:anchorId="2CA06724" wp14:editId="62437A6C">
                <wp:extent cx="6972300" cy="6924675"/>
                <wp:effectExtent l="0" t="0" r="0" b="9525"/>
                <wp:docPr id="1" name="Diagram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agram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692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5C614EE" w14:textId="489722BF" w:rsidR="00275890" w:rsidRDefault="00275890" w:rsidP="00275890"/>
    <w:p w14:paraId="691CD0FA" w14:textId="77777777" w:rsidR="00275890" w:rsidRDefault="00275890" w:rsidP="002758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8"/>
        <w:gridCol w:w="2037"/>
        <w:gridCol w:w="2350"/>
        <w:gridCol w:w="2103"/>
        <w:gridCol w:w="2590"/>
      </w:tblGrid>
      <w:tr w:rsidR="00C41C51" w14:paraId="6753E9DE" w14:textId="77777777" w:rsidTr="001F0C38">
        <w:tc>
          <w:tcPr>
            <w:tcW w:w="2197" w:type="dxa"/>
          </w:tcPr>
          <w:p w14:paraId="790FE2DE" w14:textId="77777777" w:rsidR="00C41C51" w:rsidRDefault="00C41C51" w:rsidP="00275890"/>
        </w:tc>
        <w:tc>
          <w:tcPr>
            <w:tcW w:w="2197" w:type="dxa"/>
            <w:tcBorders>
              <w:right w:val="nil"/>
            </w:tcBorders>
            <w:shd w:val="clear" w:color="auto" w:fill="8EAADB" w:themeFill="accent1" w:themeFillTint="99"/>
          </w:tcPr>
          <w:p w14:paraId="717F5F73" w14:textId="6B75E71A" w:rsidR="00C41C51" w:rsidRPr="00C41C51" w:rsidRDefault="00C41C51" w:rsidP="002758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C41C51">
              <w:rPr>
                <w:b/>
                <w:bCs/>
                <w:sz w:val="28"/>
                <w:szCs w:val="28"/>
              </w:rPr>
              <w:t>Sundhed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8EAADB" w:themeFill="accent1" w:themeFillTint="99"/>
          </w:tcPr>
          <w:p w14:paraId="3E7DA1E8" w14:textId="77777777" w:rsidR="00C41C51" w:rsidRPr="00C41C51" w:rsidRDefault="00C41C51" w:rsidP="00275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  <w:tcBorders>
              <w:right w:val="nil"/>
            </w:tcBorders>
            <w:shd w:val="clear" w:color="auto" w:fill="538135" w:themeFill="accent6" w:themeFillShade="BF"/>
          </w:tcPr>
          <w:p w14:paraId="74B9271B" w14:textId="3B5A91D7" w:rsidR="00C41C51" w:rsidRPr="00C41C51" w:rsidRDefault="00C41C51" w:rsidP="002758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C41C51">
              <w:rPr>
                <w:b/>
                <w:bCs/>
                <w:sz w:val="28"/>
                <w:szCs w:val="28"/>
              </w:rPr>
              <w:t>Social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538135" w:themeFill="accent6" w:themeFillShade="BF"/>
          </w:tcPr>
          <w:p w14:paraId="7E1E313D" w14:textId="77777777" w:rsidR="00C41C51" w:rsidRDefault="00C41C51" w:rsidP="00275890"/>
        </w:tc>
      </w:tr>
      <w:tr w:rsidR="00275890" w14:paraId="5B800B1E" w14:textId="77777777" w:rsidTr="00275890">
        <w:tc>
          <w:tcPr>
            <w:tcW w:w="2197" w:type="dxa"/>
          </w:tcPr>
          <w:p w14:paraId="2271881B" w14:textId="77777777" w:rsidR="00275890" w:rsidRDefault="00275890" w:rsidP="00275890"/>
        </w:tc>
        <w:tc>
          <w:tcPr>
            <w:tcW w:w="2197" w:type="dxa"/>
          </w:tcPr>
          <w:p w14:paraId="787F3B5D" w14:textId="0AF70F3F" w:rsidR="00275890" w:rsidRPr="00C41C51" w:rsidRDefault="00275890" w:rsidP="00275890">
            <w:pPr>
              <w:rPr>
                <w:b/>
                <w:bCs/>
              </w:rPr>
            </w:pPr>
            <w:r w:rsidRPr="00C41C51">
              <w:rPr>
                <w:b/>
                <w:bCs/>
              </w:rPr>
              <w:t>Formandskabet SDK</w:t>
            </w:r>
          </w:p>
        </w:tc>
        <w:tc>
          <w:tcPr>
            <w:tcW w:w="2198" w:type="dxa"/>
          </w:tcPr>
          <w:p w14:paraId="44154A88" w14:textId="523DC148" w:rsidR="00275890" w:rsidRPr="00C41C51" w:rsidRDefault="00275890" w:rsidP="00275890">
            <w:pPr>
              <w:rPr>
                <w:b/>
                <w:bCs/>
              </w:rPr>
            </w:pPr>
            <w:r w:rsidRPr="00C41C51">
              <w:rPr>
                <w:b/>
                <w:bCs/>
              </w:rPr>
              <w:t>Sundhedsdirektørkreds</w:t>
            </w:r>
          </w:p>
        </w:tc>
        <w:tc>
          <w:tcPr>
            <w:tcW w:w="2198" w:type="dxa"/>
          </w:tcPr>
          <w:p w14:paraId="7FD92509" w14:textId="0101A969" w:rsidR="00275890" w:rsidRPr="00C41C51" w:rsidRDefault="00275890" w:rsidP="00275890">
            <w:pPr>
              <w:rPr>
                <w:b/>
                <w:bCs/>
              </w:rPr>
            </w:pPr>
            <w:r w:rsidRPr="00C41C51">
              <w:rPr>
                <w:b/>
                <w:bCs/>
              </w:rPr>
              <w:t>Forretningsudvalg</w:t>
            </w:r>
          </w:p>
        </w:tc>
        <w:tc>
          <w:tcPr>
            <w:tcW w:w="2198" w:type="dxa"/>
          </w:tcPr>
          <w:p w14:paraId="486EBE1C" w14:textId="00CC9008" w:rsidR="00275890" w:rsidRPr="00C41C51" w:rsidRDefault="00275890" w:rsidP="00275890">
            <w:pPr>
              <w:rPr>
                <w:b/>
                <w:bCs/>
              </w:rPr>
            </w:pPr>
            <w:r w:rsidRPr="00C41C51">
              <w:rPr>
                <w:b/>
                <w:bCs/>
              </w:rPr>
              <w:t>Socialdirektørforum</w:t>
            </w:r>
          </w:p>
        </w:tc>
      </w:tr>
      <w:tr w:rsidR="00275890" w14:paraId="57F70FA0" w14:textId="77777777" w:rsidTr="00275890">
        <w:tc>
          <w:tcPr>
            <w:tcW w:w="2197" w:type="dxa"/>
          </w:tcPr>
          <w:p w14:paraId="72C75FB0" w14:textId="24788449" w:rsidR="00275890" w:rsidRDefault="00275890" w:rsidP="00275890">
            <w:r>
              <w:t>Januar</w:t>
            </w:r>
          </w:p>
        </w:tc>
        <w:tc>
          <w:tcPr>
            <w:tcW w:w="2197" w:type="dxa"/>
          </w:tcPr>
          <w:p w14:paraId="65AEE310" w14:textId="2914280A" w:rsidR="00275890" w:rsidRDefault="00275890" w:rsidP="00275890">
            <w:r>
              <w:t>D. 10. januar</w:t>
            </w:r>
          </w:p>
        </w:tc>
        <w:tc>
          <w:tcPr>
            <w:tcW w:w="2198" w:type="dxa"/>
          </w:tcPr>
          <w:p w14:paraId="0149CE09" w14:textId="7799F023" w:rsidR="00275890" w:rsidRDefault="00275890" w:rsidP="00275890">
            <w:r>
              <w:t>D. 25. januar</w:t>
            </w:r>
          </w:p>
        </w:tc>
        <w:tc>
          <w:tcPr>
            <w:tcW w:w="2198" w:type="dxa"/>
          </w:tcPr>
          <w:p w14:paraId="0771CDFE" w14:textId="77777777" w:rsidR="00275890" w:rsidRDefault="00275890" w:rsidP="00275890"/>
        </w:tc>
        <w:tc>
          <w:tcPr>
            <w:tcW w:w="2198" w:type="dxa"/>
          </w:tcPr>
          <w:p w14:paraId="33F84EE2" w14:textId="77777777" w:rsidR="00275890" w:rsidRDefault="00275890" w:rsidP="00275890"/>
        </w:tc>
      </w:tr>
      <w:tr w:rsidR="00275890" w14:paraId="1D1F8405" w14:textId="77777777" w:rsidTr="00275890">
        <w:tc>
          <w:tcPr>
            <w:tcW w:w="2197" w:type="dxa"/>
          </w:tcPr>
          <w:p w14:paraId="3C1F5550" w14:textId="686F276D" w:rsidR="00275890" w:rsidRDefault="00275890" w:rsidP="00275890">
            <w:r>
              <w:t>Februar</w:t>
            </w:r>
          </w:p>
        </w:tc>
        <w:tc>
          <w:tcPr>
            <w:tcW w:w="2197" w:type="dxa"/>
          </w:tcPr>
          <w:p w14:paraId="1918BAAD" w14:textId="77777777" w:rsidR="00275890" w:rsidRDefault="00275890" w:rsidP="00275890"/>
        </w:tc>
        <w:tc>
          <w:tcPr>
            <w:tcW w:w="2198" w:type="dxa"/>
          </w:tcPr>
          <w:p w14:paraId="64BE45CE" w14:textId="77777777" w:rsidR="00275890" w:rsidRDefault="00275890" w:rsidP="00275890"/>
        </w:tc>
        <w:tc>
          <w:tcPr>
            <w:tcW w:w="2198" w:type="dxa"/>
          </w:tcPr>
          <w:p w14:paraId="7288CA32" w14:textId="1850BF64" w:rsidR="00275890" w:rsidRDefault="00275890" w:rsidP="00275890">
            <w:r>
              <w:t>D. 24. februar</w:t>
            </w:r>
          </w:p>
        </w:tc>
        <w:tc>
          <w:tcPr>
            <w:tcW w:w="2198" w:type="dxa"/>
          </w:tcPr>
          <w:p w14:paraId="04C1E29E" w14:textId="77777777" w:rsidR="00275890" w:rsidRDefault="00275890" w:rsidP="00275890"/>
        </w:tc>
      </w:tr>
      <w:tr w:rsidR="00275890" w14:paraId="15FF9AF8" w14:textId="77777777" w:rsidTr="00275890">
        <w:tc>
          <w:tcPr>
            <w:tcW w:w="2197" w:type="dxa"/>
          </w:tcPr>
          <w:p w14:paraId="5D186545" w14:textId="5B2B5A94" w:rsidR="00275890" w:rsidRDefault="00275890" w:rsidP="00275890">
            <w:r>
              <w:t>Marts</w:t>
            </w:r>
          </w:p>
        </w:tc>
        <w:tc>
          <w:tcPr>
            <w:tcW w:w="2197" w:type="dxa"/>
          </w:tcPr>
          <w:p w14:paraId="0BF1DD6A" w14:textId="6CC30695" w:rsidR="00275890" w:rsidRDefault="00621B31" w:rsidP="00275890">
            <w:r>
              <w:t>D. 6. marts</w:t>
            </w:r>
          </w:p>
        </w:tc>
        <w:tc>
          <w:tcPr>
            <w:tcW w:w="2198" w:type="dxa"/>
          </w:tcPr>
          <w:p w14:paraId="58C7DAB6" w14:textId="11269D9F" w:rsidR="00275890" w:rsidRDefault="00621B31" w:rsidP="00275890">
            <w:r>
              <w:t>D. 22. marts</w:t>
            </w:r>
          </w:p>
        </w:tc>
        <w:tc>
          <w:tcPr>
            <w:tcW w:w="2198" w:type="dxa"/>
          </w:tcPr>
          <w:p w14:paraId="061E6298" w14:textId="77777777" w:rsidR="00275890" w:rsidRDefault="00275890" w:rsidP="00275890"/>
        </w:tc>
        <w:tc>
          <w:tcPr>
            <w:tcW w:w="2198" w:type="dxa"/>
          </w:tcPr>
          <w:p w14:paraId="56B918F7" w14:textId="24DA17A0" w:rsidR="00275890" w:rsidRDefault="00275890" w:rsidP="00275890">
            <w:r>
              <w:t>D. 9-10 12-12 møde</w:t>
            </w:r>
          </w:p>
        </w:tc>
      </w:tr>
      <w:tr w:rsidR="00275890" w14:paraId="26022E92" w14:textId="77777777" w:rsidTr="00275890">
        <w:tc>
          <w:tcPr>
            <w:tcW w:w="2197" w:type="dxa"/>
          </w:tcPr>
          <w:p w14:paraId="09E8CA67" w14:textId="6072DE7B" w:rsidR="00275890" w:rsidRDefault="00275890" w:rsidP="00275890">
            <w:r>
              <w:t>April</w:t>
            </w:r>
          </w:p>
        </w:tc>
        <w:tc>
          <w:tcPr>
            <w:tcW w:w="2197" w:type="dxa"/>
          </w:tcPr>
          <w:p w14:paraId="42A98EA2" w14:textId="77777777" w:rsidR="00275890" w:rsidRDefault="00275890" w:rsidP="00275890"/>
        </w:tc>
        <w:tc>
          <w:tcPr>
            <w:tcW w:w="2198" w:type="dxa"/>
          </w:tcPr>
          <w:p w14:paraId="7DD1C60C" w14:textId="77777777" w:rsidR="00275890" w:rsidRDefault="00275890" w:rsidP="00275890"/>
        </w:tc>
        <w:tc>
          <w:tcPr>
            <w:tcW w:w="2198" w:type="dxa"/>
          </w:tcPr>
          <w:p w14:paraId="73A7BB75" w14:textId="1667B907" w:rsidR="00275890" w:rsidRDefault="00275890" w:rsidP="00275890">
            <w:r>
              <w:t>D. 21. april</w:t>
            </w:r>
          </w:p>
        </w:tc>
        <w:tc>
          <w:tcPr>
            <w:tcW w:w="2198" w:type="dxa"/>
          </w:tcPr>
          <w:p w14:paraId="04CF7683" w14:textId="77777777" w:rsidR="00275890" w:rsidRDefault="00275890" w:rsidP="00275890"/>
        </w:tc>
      </w:tr>
      <w:tr w:rsidR="00275890" w14:paraId="667FCBC9" w14:textId="77777777" w:rsidTr="00275890">
        <w:tc>
          <w:tcPr>
            <w:tcW w:w="2197" w:type="dxa"/>
          </w:tcPr>
          <w:p w14:paraId="3CC16C9C" w14:textId="550FA850" w:rsidR="00275890" w:rsidRDefault="00275890" w:rsidP="00275890">
            <w:r>
              <w:t>Maj</w:t>
            </w:r>
          </w:p>
        </w:tc>
        <w:tc>
          <w:tcPr>
            <w:tcW w:w="2197" w:type="dxa"/>
          </w:tcPr>
          <w:p w14:paraId="637060C8" w14:textId="0EB87B54" w:rsidR="00275890" w:rsidRDefault="00621B31" w:rsidP="00275890">
            <w:r>
              <w:t>D. 8. maj</w:t>
            </w:r>
          </w:p>
        </w:tc>
        <w:tc>
          <w:tcPr>
            <w:tcW w:w="2198" w:type="dxa"/>
          </w:tcPr>
          <w:p w14:paraId="693DB6C4" w14:textId="55E24B0E" w:rsidR="00275890" w:rsidRDefault="00621B31" w:rsidP="00275890">
            <w:r>
              <w:t>D. 24. maj</w:t>
            </w:r>
            <w:r w:rsidR="005F3089">
              <w:t xml:space="preserve"> 12-12 møde</w:t>
            </w:r>
          </w:p>
        </w:tc>
        <w:tc>
          <w:tcPr>
            <w:tcW w:w="2198" w:type="dxa"/>
          </w:tcPr>
          <w:p w14:paraId="7F995C6F" w14:textId="77777777" w:rsidR="00275890" w:rsidRDefault="00275890" w:rsidP="00275890"/>
        </w:tc>
        <w:tc>
          <w:tcPr>
            <w:tcW w:w="2198" w:type="dxa"/>
          </w:tcPr>
          <w:p w14:paraId="397C095B" w14:textId="3C18A45E" w:rsidR="00275890" w:rsidRDefault="00275890" w:rsidP="00275890">
            <w:r>
              <w:t>D. 19. maj</w:t>
            </w:r>
          </w:p>
        </w:tc>
      </w:tr>
      <w:tr w:rsidR="00275890" w14:paraId="770BCBF6" w14:textId="77777777" w:rsidTr="00275890">
        <w:tc>
          <w:tcPr>
            <w:tcW w:w="2197" w:type="dxa"/>
          </w:tcPr>
          <w:p w14:paraId="4FB9D528" w14:textId="460EEA80" w:rsidR="00275890" w:rsidRDefault="00275890" w:rsidP="00275890">
            <w:r>
              <w:t>Juni</w:t>
            </w:r>
          </w:p>
        </w:tc>
        <w:tc>
          <w:tcPr>
            <w:tcW w:w="2197" w:type="dxa"/>
          </w:tcPr>
          <w:p w14:paraId="27333207" w14:textId="77777777" w:rsidR="00275890" w:rsidRDefault="00275890" w:rsidP="00275890"/>
        </w:tc>
        <w:tc>
          <w:tcPr>
            <w:tcW w:w="2198" w:type="dxa"/>
          </w:tcPr>
          <w:p w14:paraId="72130FDB" w14:textId="77777777" w:rsidR="00275890" w:rsidRDefault="00275890" w:rsidP="00275890"/>
        </w:tc>
        <w:tc>
          <w:tcPr>
            <w:tcW w:w="2198" w:type="dxa"/>
          </w:tcPr>
          <w:p w14:paraId="6054322D" w14:textId="1D890766" w:rsidR="00275890" w:rsidRDefault="00275890" w:rsidP="00275890">
            <w:r>
              <w:t>D. 13. juni</w:t>
            </w:r>
          </w:p>
        </w:tc>
        <w:tc>
          <w:tcPr>
            <w:tcW w:w="2198" w:type="dxa"/>
          </w:tcPr>
          <w:p w14:paraId="1915DEAA" w14:textId="12FB2EA3" w:rsidR="00275890" w:rsidRDefault="00275890" w:rsidP="00275890">
            <w:r>
              <w:t>D. 30. juni</w:t>
            </w:r>
          </w:p>
        </w:tc>
      </w:tr>
      <w:tr w:rsidR="00275890" w14:paraId="598B717E" w14:textId="77777777" w:rsidTr="00275890">
        <w:tc>
          <w:tcPr>
            <w:tcW w:w="2197" w:type="dxa"/>
          </w:tcPr>
          <w:p w14:paraId="1A9CA304" w14:textId="58F65097" w:rsidR="00275890" w:rsidRDefault="00275890" w:rsidP="00275890">
            <w:r>
              <w:t>Juli</w:t>
            </w:r>
          </w:p>
        </w:tc>
        <w:tc>
          <w:tcPr>
            <w:tcW w:w="2197" w:type="dxa"/>
          </w:tcPr>
          <w:p w14:paraId="062693AB" w14:textId="77777777" w:rsidR="00275890" w:rsidRDefault="00275890" w:rsidP="00275890"/>
        </w:tc>
        <w:tc>
          <w:tcPr>
            <w:tcW w:w="2198" w:type="dxa"/>
          </w:tcPr>
          <w:p w14:paraId="10FBB7FA" w14:textId="77777777" w:rsidR="00275890" w:rsidRDefault="00275890" w:rsidP="00275890"/>
        </w:tc>
        <w:tc>
          <w:tcPr>
            <w:tcW w:w="2198" w:type="dxa"/>
          </w:tcPr>
          <w:p w14:paraId="23CDB5C8" w14:textId="77777777" w:rsidR="00275890" w:rsidRDefault="00275890" w:rsidP="00275890"/>
        </w:tc>
        <w:tc>
          <w:tcPr>
            <w:tcW w:w="2198" w:type="dxa"/>
          </w:tcPr>
          <w:p w14:paraId="25C389D5" w14:textId="77FF66C9" w:rsidR="00275890" w:rsidRDefault="00275890" w:rsidP="00275890"/>
        </w:tc>
      </w:tr>
      <w:tr w:rsidR="00275890" w14:paraId="111954BF" w14:textId="77777777" w:rsidTr="00275890">
        <w:tc>
          <w:tcPr>
            <w:tcW w:w="2197" w:type="dxa"/>
          </w:tcPr>
          <w:p w14:paraId="558DC2B1" w14:textId="185E4B52" w:rsidR="00275890" w:rsidRDefault="00275890" w:rsidP="00275890">
            <w:r>
              <w:lastRenderedPageBreak/>
              <w:t>August</w:t>
            </w:r>
          </w:p>
        </w:tc>
        <w:tc>
          <w:tcPr>
            <w:tcW w:w="2197" w:type="dxa"/>
          </w:tcPr>
          <w:p w14:paraId="3A72EAED" w14:textId="77777777" w:rsidR="00275890" w:rsidRDefault="00275890" w:rsidP="00275890"/>
        </w:tc>
        <w:tc>
          <w:tcPr>
            <w:tcW w:w="2198" w:type="dxa"/>
          </w:tcPr>
          <w:p w14:paraId="65AB4BC7" w14:textId="77777777" w:rsidR="00275890" w:rsidRDefault="00275890" w:rsidP="00275890"/>
        </w:tc>
        <w:tc>
          <w:tcPr>
            <w:tcW w:w="2198" w:type="dxa"/>
          </w:tcPr>
          <w:p w14:paraId="77870EA5" w14:textId="77777777" w:rsidR="00275890" w:rsidRDefault="00275890" w:rsidP="00275890"/>
        </w:tc>
        <w:tc>
          <w:tcPr>
            <w:tcW w:w="2198" w:type="dxa"/>
          </w:tcPr>
          <w:p w14:paraId="1349CBBA" w14:textId="77777777" w:rsidR="00275890" w:rsidRDefault="00275890" w:rsidP="00275890"/>
        </w:tc>
      </w:tr>
      <w:tr w:rsidR="00275890" w14:paraId="37C2CF38" w14:textId="77777777" w:rsidTr="00275890">
        <w:tc>
          <w:tcPr>
            <w:tcW w:w="2197" w:type="dxa"/>
          </w:tcPr>
          <w:p w14:paraId="4083180F" w14:textId="28E8739D" w:rsidR="00275890" w:rsidRDefault="00275890" w:rsidP="00275890">
            <w:r>
              <w:t>September</w:t>
            </w:r>
          </w:p>
        </w:tc>
        <w:tc>
          <w:tcPr>
            <w:tcW w:w="2197" w:type="dxa"/>
          </w:tcPr>
          <w:p w14:paraId="003EC3E1" w14:textId="3B1511B3" w:rsidR="00275890" w:rsidRDefault="00275890" w:rsidP="00275890">
            <w:r>
              <w:t>D. 27. september</w:t>
            </w:r>
          </w:p>
        </w:tc>
        <w:tc>
          <w:tcPr>
            <w:tcW w:w="2198" w:type="dxa"/>
          </w:tcPr>
          <w:p w14:paraId="02ED4CB5" w14:textId="77777777" w:rsidR="00275890" w:rsidRDefault="00275890" w:rsidP="00275890"/>
        </w:tc>
        <w:tc>
          <w:tcPr>
            <w:tcW w:w="2198" w:type="dxa"/>
          </w:tcPr>
          <w:p w14:paraId="64A4778C" w14:textId="1FEDBB35" w:rsidR="00275890" w:rsidRDefault="00275890" w:rsidP="00275890">
            <w:r>
              <w:t>D. 13. september</w:t>
            </w:r>
          </w:p>
        </w:tc>
        <w:tc>
          <w:tcPr>
            <w:tcW w:w="2198" w:type="dxa"/>
          </w:tcPr>
          <w:p w14:paraId="148B1C21" w14:textId="633CE973" w:rsidR="00275890" w:rsidRDefault="00275890" w:rsidP="00275890">
            <w:r>
              <w:t xml:space="preserve">D. 29. </w:t>
            </w:r>
            <w:r w:rsidR="005F3089">
              <w:t>september</w:t>
            </w:r>
          </w:p>
        </w:tc>
      </w:tr>
      <w:tr w:rsidR="00275890" w14:paraId="49B7F976" w14:textId="77777777" w:rsidTr="00275890">
        <w:tc>
          <w:tcPr>
            <w:tcW w:w="2197" w:type="dxa"/>
          </w:tcPr>
          <w:p w14:paraId="43FA53B0" w14:textId="59F25B96" w:rsidR="00275890" w:rsidRDefault="00275890" w:rsidP="00275890">
            <w:r>
              <w:t>Oktober</w:t>
            </w:r>
          </w:p>
        </w:tc>
        <w:tc>
          <w:tcPr>
            <w:tcW w:w="2197" w:type="dxa"/>
          </w:tcPr>
          <w:p w14:paraId="756972E8" w14:textId="291B3887" w:rsidR="00275890" w:rsidRDefault="00275890" w:rsidP="00275890">
            <w:r>
              <w:t>D. 24. oktober</w:t>
            </w:r>
          </w:p>
        </w:tc>
        <w:tc>
          <w:tcPr>
            <w:tcW w:w="2198" w:type="dxa"/>
          </w:tcPr>
          <w:p w14:paraId="696A24AA" w14:textId="429E4D94" w:rsidR="00275890" w:rsidRDefault="00275890" w:rsidP="00275890">
            <w:r>
              <w:t>D. 12. oktober</w:t>
            </w:r>
          </w:p>
        </w:tc>
        <w:tc>
          <w:tcPr>
            <w:tcW w:w="2198" w:type="dxa"/>
          </w:tcPr>
          <w:p w14:paraId="280D8DAA" w14:textId="77777777" w:rsidR="00275890" w:rsidRDefault="00275890" w:rsidP="00275890"/>
        </w:tc>
        <w:tc>
          <w:tcPr>
            <w:tcW w:w="2198" w:type="dxa"/>
          </w:tcPr>
          <w:p w14:paraId="2B00688F" w14:textId="77777777" w:rsidR="00275890" w:rsidRDefault="00275890" w:rsidP="00275890"/>
        </w:tc>
      </w:tr>
      <w:tr w:rsidR="005F3089" w14:paraId="25C8F69D" w14:textId="77777777" w:rsidTr="0067023A">
        <w:tc>
          <w:tcPr>
            <w:tcW w:w="2197" w:type="dxa"/>
            <w:shd w:val="clear" w:color="auto" w:fill="ED7D31" w:themeFill="accent2"/>
          </w:tcPr>
          <w:p w14:paraId="1E040CC0" w14:textId="665942FA" w:rsidR="005F3089" w:rsidRDefault="005F3089" w:rsidP="00275890">
            <w:r>
              <w:t>November</w:t>
            </w:r>
          </w:p>
        </w:tc>
        <w:tc>
          <w:tcPr>
            <w:tcW w:w="2197" w:type="dxa"/>
            <w:shd w:val="clear" w:color="auto" w:fill="ED7D31" w:themeFill="accent2"/>
          </w:tcPr>
          <w:p w14:paraId="1C69E0EB" w14:textId="77777777" w:rsidR="005F3089" w:rsidRDefault="005F3089" w:rsidP="00275890"/>
        </w:tc>
        <w:tc>
          <w:tcPr>
            <w:tcW w:w="2198" w:type="dxa"/>
            <w:shd w:val="clear" w:color="auto" w:fill="ED7D31" w:themeFill="accent2"/>
          </w:tcPr>
          <w:p w14:paraId="24E64F92" w14:textId="455A63A1" w:rsidR="005F3089" w:rsidRDefault="005F3089" w:rsidP="00275890">
            <w:r>
              <w:t>D 3. november (fællesmøde med Socialdirektørforum)</w:t>
            </w:r>
          </w:p>
        </w:tc>
        <w:tc>
          <w:tcPr>
            <w:tcW w:w="2198" w:type="dxa"/>
            <w:shd w:val="clear" w:color="auto" w:fill="ED7D31" w:themeFill="accent2"/>
          </w:tcPr>
          <w:p w14:paraId="3287505C" w14:textId="7F5A1BB5" w:rsidR="005F3089" w:rsidRDefault="005F3089" w:rsidP="00275890"/>
        </w:tc>
        <w:tc>
          <w:tcPr>
            <w:tcW w:w="2198" w:type="dxa"/>
            <w:shd w:val="clear" w:color="auto" w:fill="ED7D31" w:themeFill="accent2"/>
          </w:tcPr>
          <w:p w14:paraId="0C22955E" w14:textId="21DF6335" w:rsidR="005F3089" w:rsidRDefault="005F3089" w:rsidP="00275890">
            <w:r>
              <w:t>D. 3. november (fællesmøde med Sundhedsdirektørkredsen)</w:t>
            </w:r>
          </w:p>
        </w:tc>
      </w:tr>
      <w:tr w:rsidR="00275890" w14:paraId="7FBE8640" w14:textId="77777777" w:rsidTr="00275890">
        <w:tc>
          <w:tcPr>
            <w:tcW w:w="2197" w:type="dxa"/>
          </w:tcPr>
          <w:p w14:paraId="2E5AF1D4" w14:textId="2EE68CBD" w:rsidR="00275890" w:rsidRDefault="00275890" w:rsidP="00275890">
            <w:r>
              <w:t>November</w:t>
            </w:r>
          </w:p>
        </w:tc>
        <w:tc>
          <w:tcPr>
            <w:tcW w:w="2197" w:type="dxa"/>
          </w:tcPr>
          <w:p w14:paraId="71FC178C" w14:textId="77777777" w:rsidR="00275890" w:rsidRDefault="00275890" w:rsidP="00275890"/>
        </w:tc>
        <w:tc>
          <w:tcPr>
            <w:tcW w:w="2198" w:type="dxa"/>
          </w:tcPr>
          <w:p w14:paraId="6F204546" w14:textId="460BB7B9" w:rsidR="00275890" w:rsidRDefault="00275890" w:rsidP="00275890">
            <w:r>
              <w:t>D. 8. november</w:t>
            </w:r>
          </w:p>
        </w:tc>
        <w:tc>
          <w:tcPr>
            <w:tcW w:w="2198" w:type="dxa"/>
          </w:tcPr>
          <w:p w14:paraId="440E9287" w14:textId="6C64B280" w:rsidR="00275890" w:rsidRDefault="00275890" w:rsidP="00275890">
            <w:r>
              <w:t>D. 29. november</w:t>
            </w:r>
          </w:p>
        </w:tc>
        <w:tc>
          <w:tcPr>
            <w:tcW w:w="2198" w:type="dxa"/>
          </w:tcPr>
          <w:p w14:paraId="7E1827DF" w14:textId="77777777" w:rsidR="00275890" w:rsidRDefault="00275890" w:rsidP="00275890"/>
        </w:tc>
      </w:tr>
      <w:tr w:rsidR="00275890" w14:paraId="52B930A9" w14:textId="77777777" w:rsidTr="00275890">
        <w:tc>
          <w:tcPr>
            <w:tcW w:w="2197" w:type="dxa"/>
          </w:tcPr>
          <w:p w14:paraId="2DF7D8E0" w14:textId="5EAA19B4" w:rsidR="00275890" w:rsidRDefault="00275890" w:rsidP="00275890">
            <w:r>
              <w:t>December</w:t>
            </w:r>
          </w:p>
        </w:tc>
        <w:tc>
          <w:tcPr>
            <w:tcW w:w="2197" w:type="dxa"/>
          </w:tcPr>
          <w:p w14:paraId="1847E40A" w14:textId="77777777" w:rsidR="00275890" w:rsidRDefault="00275890" w:rsidP="00275890"/>
        </w:tc>
        <w:tc>
          <w:tcPr>
            <w:tcW w:w="2198" w:type="dxa"/>
          </w:tcPr>
          <w:p w14:paraId="1904253C" w14:textId="77777777" w:rsidR="00275890" w:rsidRDefault="00275890" w:rsidP="00275890"/>
        </w:tc>
        <w:tc>
          <w:tcPr>
            <w:tcW w:w="2198" w:type="dxa"/>
          </w:tcPr>
          <w:p w14:paraId="4F151ADB" w14:textId="77777777" w:rsidR="00275890" w:rsidRDefault="00275890" w:rsidP="00275890"/>
        </w:tc>
        <w:tc>
          <w:tcPr>
            <w:tcW w:w="2198" w:type="dxa"/>
          </w:tcPr>
          <w:p w14:paraId="77B415E7" w14:textId="183EF7A3" w:rsidR="00275890" w:rsidRDefault="00275890" w:rsidP="00275890">
            <w:r>
              <w:t>D. 13. december</w:t>
            </w:r>
          </w:p>
        </w:tc>
      </w:tr>
    </w:tbl>
    <w:p w14:paraId="427CEDEB" w14:textId="77777777" w:rsidR="00275890" w:rsidRPr="00275890" w:rsidRDefault="00275890" w:rsidP="00275890"/>
    <w:sectPr w:rsidR="00275890" w:rsidRPr="00275890" w:rsidSect="0027589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0A"/>
    <w:rsid w:val="00062687"/>
    <w:rsid w:val="000D5A9B"/>
    <w:rsid w:val="001F0C38"/>
    <w:rsid w:val="00275890"/>
    <w:rsid w:val="0041120A"/>
    <w:rsid w:val="005F3089"/>
    <w:rsid w:val="00621B31"/>
    <w:rsid w:val="0067023A"/>
    <w:rsid w:val="0095703D"/>
    <w:rsid w:val="00AA1086"/>
    <w:rsid w:val="00B425B0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DD43"/>
  <w15:chartTrackingRefBased/>
  <w15:docId w15:val="{8A412244-853C-4030-897C-9ED5548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'Ark1'!$A$2:$C$24</cx:f>
        <cx:lvl ptCount="23">
          <cx:pt idx="0"/>
          <cx:pt idx="1"/>
          <cx:pt idx="2"/>
          <cx:pt idx="3"/>
          <cx:pt idx="4"/>
          <cx:pt idx="5"/>
          <cx:pt idx="6"/>
          <cx:pt idx="7"/>
          <cx:pt idx="8"/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  <cx:pt idx="22"/>
        </cx:lvl>
        <cx:lvl ptCount="23">
          <cx:pt idx="0">D. 13. Møde i Socialdirektørforum</cx:pt>
          <cx:pt idx="1">D. 29. Møde i Forretningsudvalget</cx:pt>
          <cx:pt idx="2">D. 8. Møde i Sundhedsdirektørkredsen</cx:pt>
          <cx:pt idx="3">D. 3. Fællesmøde Sundhedsdirektørkredsen og Socialdirektørforum</cx:pt>
          <cx:pt idx="4">D. 24. Møde i Formandskabet for Sundhedsdirektørkredsen</cx:pt>
          <cx:pt idx="5">D. 12. Møde i Sundhedsdirektørkredsen</cx:pt>
          <cx:pt idx="6">D. 29. Møde i Socialdirektørforum</cx:pt>
          <cx:pt idx="7">D. 27. Møde i Formandskabet for Sundhedsdirektørkredsen</cx:pt>
          <cx:pt idx="8">D. 13. Møde i Forretningsudvalget</cx:pt>
          <cx:pt idx="9"/>
          <cx:pt idx="10"/>
          <cx:pt idx="11">D. 30. Møde i Socialdirektørforum</cx:pt>
          <cx:pt idx="12">D. 13. Møde i Forretningsudvalget</cx:pt>
          <cx:pt idx="13">D. 24. Møde i Sundhedsdirektørkredsen</cx:pt>
          <cx:pt idx="14">D. 19. Møde i Socialdirektørforum</cx:pt>
          <cx:pt idx="15">D. 8. Møde i Formandskabet for Sundhedsdirektørkredsen</cx:pt>
          <cx:pt idx="16">D. 21. Møde i forretningsudvalget</cx:pt>
          <cx:pt idx="17">D. 22. Møde i Sundhedsdirektørkredsen</cx:pt>
          <cx:pt idx="18">D. 9-10. 12-12 møde i Socialdirektørkredsen</cx:pt>
          <cx:pt idx="19">D. 6. Møde i Formandskabet for Sundhedsdirektørkredsen</cx:pt>
          <cx:pt idx="20">D. 24. Møde i Forretningsudvalget</cx:pt>
          <cx:pt idx="21">D. 25. Møde i Sundhedsdirektørkredsen</cx:pt>
          <cx:pt idx="22">D. 10. Møde i Formandskabet for Sundhedsdirektørkredsen</cx:pt>
        </cx:lvl>
        <cx:lvl ptCount="23">
          <cx:pt idx="0">December</cx:pt>
          <cx:pt idx="1">November</cx:pt>
          <cx:pt idx="2">November</cx:pt>
          <cx:pt idx="3">November</cx:pt>
          <cx:pt idx="4">Oktober</cx:pt>
          <cx:pt idx="5">Oktober</cx:pt>
          <cx:pt idx="6">September</cx:pt>
          <cx:pt idx="7">September</cx:pt>
          <cx:pt idx="8">September</cx:pt>
          <cx:pt idx="9">August</cx:pt>
          <cx:pt idx="10">Juli</cx:pt>
          <cx:pt idx="11">Juni</cx:pt>
          <cx:pt idx="12">Juni</cx:pt>
          <cx:pt idx="13">Maj</cx:pt>
          <cx:pt idx="14">Maj</cx:pt>
          <cx:pt idx="15">Maj</cx:pt>
          <cx:pt idx="16">April</cx:pt>
          <cx:pt idx="17">Marts</cx:pt>
          <cx:pt idx="18">Marts</cx:pt>
          <cx:pt idx="19">Marts</cx:pt>
          <cx:pt idx="20">Februar</cx:pt>
          <cx:pt idx="21">Januar</cx:pt>
          <cx:pt idx="22">Januar</cx:pt>
        </cx:lvl>
      </cx:strDim>
      <cx:numDim type="size">
        <cx:f>'Ark1'!$D$2:$D$24</cx:f>
        <cx:lvl ptCount="23" formatCode="Standard">
          <cx:pt idx="0">30</cx:pt>
          <cx:pt idx="1">10</cx:pt>
          <cx:pt idx="2">10</cx:pt>
          <cx:pt idx="3">10</cx:pt>
          <cx:pt idx="4">15</cx:pt>
          <cx:pt idx="5">15</cx:pt>
          <cx:pt idx="6">10</cx:pt>
          <cx:pt idx="7">10</cx:pt>
          <cx:pt idx="8">10</cx:pt>
          <cx:pt idx="9">30</cx:pt>
          <cx:pt idx="10">30</cx:pt>
          <cx:pt idx="11">15</cx:pt>
          <cx:pt idx="12">15</cx:pt>
          <cx:pt idx="13">10</cx:pt>
          <cx:pt idx="14">10</cx:pt>
          <cx:pt idx="15">10</cx:pt>
          <cx:pt idx="16">30</cx:pt>
          <cx:pt idx="17">10</cx:pt>
          <cx:pt idx="18">10</cx:pt>
          <cx:pt idx="19">10</cx:pt>
          <cx:pt idx="20">30</cx:pt>
          <cx:pt idx="21">15</cx:pt>
          <cx:pt idx="22">15</cx:pt>
        </cx:lvl>
      </cx:numDim>
    </cx:data>
  </cx:chartData>
  <cx:chart>
    <cx:title pos="t" align="ctr" overlay="0">
      <cx:tx>
        <cx:txData>
          <cx:v>Møder 2023 Sundhedsdirektørkredsen og Socialdirektørforum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da-DK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Møder 2023 Sundhedsdirektørkredsen og Socialdirektørforum</a:t>
          </a:r>
        </a:p>
      </cx:txPr>
    </cx:title>
    <cx:plotArea>
      <cx:plotAreaRegion>
        <cx:plotSurface>
          <cx:spPr>
            <a:ln>
              <a:noFill/>
            </a:ln>
          </cx:spPr>
        </cx:plotSurface>
        <cx:series layoutId="sunburst" uniqueId="{908A2402-C671-43E0-BA1F-824721B061FE}">
          <cx:tx>
            <cx:txData>
              <cx:f>'Ark1'!$D$1</cx:f>
              <cx:v>Serie1</cx:v>
            </cx:txData>
          </cx:tx>
          <cx:dataPt idx="1">
            <cx:spPr>
              <a:solidFill>
                <a:srgbClr val="70AD47">
                  <a:lumMod val="75000"/>
                </a:srgbClr>
              </a:solidFill>
            </cx:spPr>
          </cx:dataPt>
          <cx:dataPt idx="3">
            <cx:spPr>
              <a:solidFill>
                <a:srgbClr val="70AD47">
                  <a:lumMod val="75000"/>
                </a:srgbClr>
              </a:solidFill>
            </cx:spPr>
          </cx:dataPt>
          <cx:dataPt idx="4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7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8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10">
            <cx:spPr>
              <a:solidFill>
                <a:srgbClr val="70AD47">
                  <a:lumMod val="75000"/>
                </a:srgbClr>
              </a:solidFill>
            </cx:spPr>
          </cx:dataPt>
          <cx:dataPt idx="11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12">
            <cx:spPr>
              <a:solidFill>
                <a:srgbClr val="70AD47">
                  <a:lumMod val="75000"/>
                </a:srgbClr>
              </a:solidFill>
            </cx:spPr>
          </cx:dataPt>
          <cx:dataPt idx="16">
            <cx:spPr>
              <a:solidFill>
                <a:srgbClr val="70AD47">
                  <a:lumMod val="75000"/>
                </a:srgbClr>
              </a:solidFill>
            </cx:spPr>
          </cx:dataPt>
          <cx:dataPt idx="17">
            <cx:spPr>
              <a:solidFill>
                <a:srgbClr val="70AD47">
                  <a:lumMod val="75000"/>
                </a:srgbClr>
              </a:solidFill>
            </cx:spPr>
          </cx:dataPt>
          <cx:dataPt idx="19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20">
            <cx:spPr>
              <a:solidFill>
                <a:srgbClr val="70AD47">
                  <a:lumMod val="75000"/>
                </a:srgbClr>
              </a:solidFill>
            </cx:spPr>
          </cx:dataPt>
          <cx:dataPt idx="21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23">
            <cx:spPr>
              <a:solidFill>
                <a:srgbClr val="70AD47">
                  <a:lumMod val="75000"/>
                </a:srgbClr>
              </a:solidFill>
            </cx:spPr>
          </cx:dataPt>
          <cx:dataPt idx="25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26">
            <cx:spPr>
              <a:solidFill>
                <a:srgbClr val="70AD47">
                  <a:lumMod val="75000"/>
                </a:srgbClr>
              </a:solidFill>
            </cx:spPr>
          </cx:dataPt>
          <cx:dataPt idx="27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29">
            <cx:spPr>
              <a:solidFill>
                <a:srgbClr val="70AD47">
                  <a:lumMod val="75000"/>
                </a:srgbClr>
              </a:solidFill>
            </cx:spPr>
          </cx:dataPt>
          <cx:dataPt idx="31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Pt idx="32">
            <cx:spPr>
              <a:solidFill>
                <a:srgbClr val="4472C4">
                  <a:lumMod val="60000"/>
                  <a:lumOff val="40000"/>
                </a:srgbClr>
              </a:solidFill>
            </cx:spPr>
          </cx:dataPt>
          <cx:dataLabels pos="ctr">
            <cx:visibility seriesName="0" categoryName="1" value="0"/>
          </cx:dataLabels>
          <cx:dataId val="0"/>
        </cx:series>
      </cx:plotAreaRegion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6</cp:revision>
  <dcterms:created xsi:type="dcterms:W3CDTF">2022-10-06T11:35:00Z</dcterms:created>
  <dcterms:modified xsi:type="dcterms:W3CDTF">2023-03-14T10:15:00Z</dcterms:modified>
</cp:coreProperties>
</file>