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1503" w14:textId="77777777" w:rsidR="00B67F3E" w:rsidRDefault="008E4582" w:rsidP="008E4582">
      <w:pPr>
        <w:pStyle w:val="Overskrift2"/>
        <w:rPr>
          <w:color w:val="auto"/>
          <w:sz w:val="32"/>
        </w:rPr>
      </w:pPr>
      <w:r w:rsidRPr="008E4582">
        <w:rPr>
          <w:color w:val="auto"/>
          <w:sz w:val="32"/>
        </w:rPr>
        <w:t>Fælleskommunalt høringssvar til samarbejdsaftale om kommunikation, ledsagelse og praktisk hjælp</w:t>
      </w:r>
    </w:p>
    <w:p w14:paraId="084AE88A" w14:textId="77777777" w:rsidR="00E34257" w:rsidRDefault="00E34257" w:rsidP="00E34257"/>
    <w:p w14:paraId="3CC79E72" w14:textId="4F0BE794" w:rsidR="003541DC" w:rsidRPr="001E5D42" w:rsidRDefault="003541DC" w:rsidP="00335A0B">
      <w:pPr>
        <w:spacing w:line="276" w:lineRule="auto"/>
        <w:jc w:val="both"/>
      </w:pPr>
      <w:r w:rsidRPr="001E5D42">
        <w:t>De syddanske kommuner takker for det fremsendte høringsudkast til samarbejdsaftale om kommunikation, ledsagelse og praktisk hjælp. Kommunerne bakker op om aftalen og dennes intentioner. Kommunerne bemærker</w:t>
      </w:r>
      <w:r w:rsidR="00FD0806">
        <w:t>,</w:t>
      </w:r>
      <w:r w:rsidRPr="001E5D42">
        <w:t xml:space="preserve"> at samarbejdsaftalen er blev</w:t>
      </w:r>
      <w:bookmarkStart w:id="0" w:name="_GoBack"/>
      <w:bookmarkEnd w:id="0"/>
      <w:r w:rsidRPr="001E5D42">
        <w:t>et mere overskuelig</w:t>
      </w:r>
      <w:r w:rsidR="00486284">
        <w:t>,</w:t>
      </w:r>
      <w:r w:rsidRPr="001E5D42">
        <w:t xml:space="preserve"> informativ</w:t>
      </w:r>
      <w:r w:rsidR="00FD0806">
        <w:t xml:space="preserve"> og</w:t>
      </w:r>
      <w:r w:rsidRPr="001E5D42">
        <w:t xml:space="preserve"> med forbedrede præciseringer. Det er ligeledes godt</w:t>
      </w:r>
      <w:r w:rsidR="00FD0806">
        <w:t>,</w:t>
      </w:r>
      <w:r w:rsidRPr="001E5D42">
        <w:t xml:space="preserve"> at fordelingen af ansvaret nu er beskrevet tydeligt i aftalen.</w:t>
      </w:r>
    </w:p>
    <w:p w14:paraId="51164A9D" w14:textId="77777777" w:rsidR="003541DC" w:rsidRPr="001E5D42" w:rsidRDefault="003541DC" w:rsidP="00335A0B">
      <w:pPr>
        <w:spacing w:line="276" w:lineRule="auto"/>
        <w:jc w:val="both"/>
        <w:rPr>
          <w:b/>
        </w:rPr>
      </w:pPr>
    </w:p>
    <w:p w14:paraId="5F3942A6" w14:textId="77777777" w:rsidR="00E34257" w:rsidRPr="001E5D42" w:rsidRDefault="00E34257" w:rsidP="00335A0B">
      <w:pPr>
        <w:spacing w:line="276" w:lineRule="auto"/>
        <w:jc w:val="both"/>
        <w:rPr>
          <w:b/>
        </w:rPr>
      </w:pPr>
      <w:r w:rsidRPr="001E5D42">
        <w:rPr>
          <w:b/>
        </w:rPr>
        <w:t>Generelle kommentarer</w:t>
      </w:r>
    </w:p>
    <w:p w14:paraId="32BEBD70" w14:textId="77777777" w:rsidR="004D5F79" w:rsidRPr="001E5D42" w:rsidRDefault="004D5F79" w:rsidP="00335A0B">
      <w:pPr>
        <w:spacing w:line="276" w:lineRule="auto"/>
        <w:jc w:val="both"/>
        <w:rPr>
          <w:b/>
        </w:rPr>
      </w:pPr>
      <w:r w:rsidRPr="001E5D42">
        <w:t>De syddanske kommuner har følgende kommentarer af generel karakter til aftalen</w:t>
      </w:r>
      <w:r w:rsidR="00CF526F" w:rsidRPr="001E5D42">
        <w:t>:</w:t>
      </w:r>
    </w:p>
    <w:p w14:paraId="5A763113" w14:textId="77777777" w:rsidR="003541DC" w:rsidRPr="001E5D42" w:rsidRDefault="004D5F79" w:rsidP="00335A0B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1E5D42">
        <w:rPr>
          <w:rFonts w:asciiTheme="minorHAnsi" w:hAnsiTheme="minorHAnsi" w:cstheme="minorHAnsi"/>
          <w:sz w:val="22"/>
        </w:rPr>
        <w:t>Fra kommunerne er der et</w:t>
      </w:r>
      <w:r w:rsidR="003541DC" w:rsidRPr="001E5D42">
        <w:rPr>
          <w:rFonts w:asciiTheme="minorHAnsi" w:hAnsiTheme="minorHAnsi" w:cstheme="minorHAnsi"/>
          <w:sz w:val="22"/>
        </w:rPr>
        <w:t xml:space="preserve"> ønske om, at der</w:t>
      </w:r>
      <w:r w:rsidRPr="001E5D42">
        <w:rPr>
          <w:rFonts w:asciiTheme="minorHAnsi" w:hAnsiTheme="minorHAnsi" w:cstheme="minorHAnsi"/>
          <w:sz w:val="22"/>
        </w:rPr>
        <w:t xml:space="preserve"> tilføjes </w:t>
      </w:r>
      <w:r w:rsidR="003541DC" w:rsidRPr="001E5D42">
        <w:rPr>
          <w:rFonts w:asciiTheme="minorHAnsi" w:hAnsiTheme="minorHAnsi" w:cstheme="minorHAnsi"/>
          <w:sz w:val="22"/>
        </w:rPr>
        <w:t>et afsnit med beskrivelse af proceduren, når der skal indgås en kontrakt om ledsagelse.  </w:t>
      </w:r>
    </w:p>
    <w:p w14:paraId="0345995F" w14:textId="2E52045F" w:rsidR="00A34EEB" w:rsidRPr="001E5D42" w:rsidRDefault="00A34EEB" w:rsidP="00335A0B">
      <w:pPr>
        <w:numPr>
          <w:ilvl w:val="0"/>
          <w:numId w:val="2"/>
        </w:numPr>
        <w:spacing w:after="0" w:line="276" w:lineRule="auto"/>
        <w:rPr>
          <w:rFonts w:eastAsia="Times New Roman"/>
        </w:rPr>
      </w:pPr>
      <w:r w:rsidRPr="001E5D42">
        <w:rPr>
          <w:rFonts w:eastAsia="Times New Roman"/>
        </w:rPr>
        <w:t>Kommunerne bemærker</w:t>
      </w:r>
      <w:r w:rsidR="00FD0806">
        <w:rPr>
          <w:rFonts w:eastAsia="Times New Roman"/>
        </w:rPr>
        <w:t>,</w:t>
      </w:r>
      <w:r w:rsidRPr="001E5D42">
        <w:rPr>
          <w:rFonts w:eastAsia="Times New Roman"/>
        </w:rPr>
        <w:t xml:space="preserve"> at d</w:t>
      </w:r>
      <w:r w:rsidR="00CF526F" w:rsidRPr="001E5D42">
        <w:rPr>
          <w:rFonts w:eastAsia="Times New Roman"/>
        </w:rPr>
        <w:t>e</w:t>
      </w:r>
      <w:r w:rsidR="00FD0806">
        <w:rPr>
          <w:rFonts w:eastAsia="Times New Roman"/>
        </w:rPr>
        <w:t>t</w:t>
      </w:r>
      <w:r w:rsidR="00CF526F" w:rsidRPr="001E5D42">
        <w:rPr>
          <w:rFonts w:eastAsia="Times New Roman"/>
        </w:rPr>
        <w:t xml:space="preserve"> nu </w:t>
      </w:r>
      <w:r w:rsidRPr="001E5D42">
        <w:rPr>
          <w:rFonts w:eastAsia="Times New Roman"/>
        </w:rPr>
        <w:t xml:space="preserve">er </w:t>
      </w:r>
      <w:r w:rsidR="00CF526F" w:rsidRPr="001E5D42">
        <w:rPr>
          <w:rFonts w:eastAsia="Times New Roman"/>
        </w:rPr>
        <w:t>indskrevet, at aftalen også dækker borgerens behov for hjælp til kommunikation</w:t>
      </w:r>
      <w:r w:rsidR="00FD0806">
        <w:rPr>
          <w:rFonts w:eastAsia="Times New Roman"/>
        </w:rPr>
        <w:t>. Dette</w:t>
      </w:r>
      <w:r w:rsidRPr="001E5D42">
        <w:rPr>
          <w:rFonts w:eastAsia="Times New Roman"/>
        </w:rPr>
        <w:t xml:space="preserve"> </w:t>
      </w:r>
      <w:r w:rsidR="007156D4" w:rsidRPr="001E5D42">
        <w:rPr>
          <w:rFonts w:eastAsia="Times New Roman"/>
        </w:rPr>
        <w:t xml:space="preserve">kan </w:t>
      </w:r>
      <w:r w:rsidR="008E6386" w:rsidRPr="001E5D42">
        <w:rPr>
          <w:rFonts w:eastAsia="Times New Roman"/>
        </w:rPr>
        <w:t>medføre</w:t>
      </w:r>
      <w:r w:rsidRPr="001E5D42">
        <w:rPr>
          <w:rFonts w:eastAsia="Times New Roman"/>
        </w:rPr>
        <w:t xml:space="preserve"> en </w:t>
      </w:r>
      <w:r w:rsidR="00CF526F" w:rsidRPr="001E5D42">
        <w:rPr>
          <w:rFonts w:eastAsia="Times New Roman"/>
        </w:rPr>
        <w:t>udvidelse af kommune</w:t>
      </w:r>
      <w:r w:rsidRPr="001E5D42">
        <w:rPr>
          <w:rFonts w:eastAsia="Times New Roman"/>
        </w:rPr>
        <w:t>r</w:t>
      </w:r>
      <w:r w:rsidR="00CF526F" w:rsidRPr="001E5D42">
        <w:rPr>
          <w:rFonts w:eastAsia="Times New Roman"/>
        </w:rPr>
        <w:t>n</w:t>
      </w:r>
      <w:r w:rsidRPr="001E5D42">
        <w:rPr>
          <w:rFonts w:eastAsia="Times New Roman"/>
        </w:rPr>
        <w:t>e</w:t>
      </w:r>
      <w:r w:rsidR="00CF526F" w:rsidRPr="001E5D42">
        <w:rPr>
          <w:rFonts w:eastAsia="Times New Roman"/>
        </w:rPr>
        <w:t>s forpligtelser.</w:t>
      </w:r>
    </w:p>
    <w:p w14:paraId="20198178" w14:textId="4DB95746" w:rsidR="00A34EEB" w:rsidRPr="001E5D42" w:rsidRDefault="00CF526F" w:rsidP="00335A0B">
      <w:pPr>
        <w:numPr>
          <w:ilvl w:val="0"/>
          <w:numId w:val="2"/>
        </w:numPr>
        <w:spacing w:after="0" w:line="276" w:lineRule="auto"/>
        <w:rPr>
          <w:rFonts w:eastAsia="Times New Roman"/>
        </w:rPr>
      </w:pPr>
      <w:r w:rsidRPr="001E5D42">
        <w:rPr>
          <w:rFonts w:eastAsia="Times New Roman"/>
        </w:rPr>
        <w:t>Aftalen</w:t>
      </w:r>
      <w:r w:rsidR="00A34EEB" w:rsidRPr="001E5D42">
        <w:rPr>
          <w:rFonts w:eastAsia="Times New Roman"/>
        </w:rPr>
        <w:t xml:space="preserve"> </w:t>
      </w:r>
      <w:r w:rsidR="007156D4" w:rsidRPr="001E5D42">
        <w:rPr>
          <w:rFonts w:eastAsia="Times New Roman"/>
        </w:rPr>
        <w:t>kan med fordel</w:t>
      </w:r>
      <w:r w:rsidR="00A34EEB" w:rsidRPr="001E5D42">
        <w:rPr>
          <w:rFonts w:eastAsia="Times New Roman"/>
        </w:rPr>
        <w:t xml:space="preserve"> specificeres i forhold til tilfælde</w:t>
      </w:r>
      <w:r w:rsidR="00FD0806">
        <w:rPr>
          <w:rFonts w:eastAsia="Times New Roman"/>
        </w:rPr>
        <w:t>,</w:t>
      </w:r>
      <w:r w:rsidR="00A34EEB" w:rsidRPr="001E5D42">
        <w:rPr>
          <w:rFonts w:eastAsia="Times New Roman"/>
        </w:rPr>
        <w:t xml:space="preserve"> hvor</w:t>
      </w:r>
      <w:r w:rsidRPr="001E5D42">
        <w:rPr>
          <w:rFonts w:eastAsia="Times New Roman"/>
        </w:rPr>
        <w:t xml:space="preserve"> det ikke er tilstrækkeligt, at der er en forælder tilstede. </w:t>
      </w:r>
      <w:r w:rsidR="00A34EEB" w:rsidRPr="001E5D42">
        <w:rPr>
          <w:rFonts w:eastAsia="Times New Roman"/>
        </w:rPr>
        <w:t>Der</w:t>
      </w:r>
      <w:r w:rsidRPr="001E5D42">
        <w:rPr>
          <w:rFonts w:eastAsia="Times New Roman"/>
        </w:rPr>
        <w:t xml:space="preserve"> kan</w:t>
      </w:r>
      <w:r w:rsidR="00A34EEB" w:rsidRPr="001E5D42">
        <w:rPr>
          <w:rFonts w:eastAsia="Times New Roman"/>
        </w:rPr>
        <w:t xml:space="preserve"> </w:t>
      </w:r>
      <w:proofErr w:type="gramStart"/>
      <w:r w:rsidR="00A34EEB" w:rsidRPr="001E5D42">
        <w:rPr>
          <w:rFonts w:eastAsia="Times New Roman"/>
        </w:rPr>
        <w:t>eksempelvis</w:t>
      </w:r>
      <w:proofErr w:type="gramEnd"/>
      <w:r w:rsidR="00A34EEB" w:rsidRPr="001E5D42">
        <w:rPr>
          <w:rFonts w:eastAsia="Times New Roman"/>
        </w:rPr>
        <w:t xml:space="preserve"> opstå</w:t>
      </w:r>
      <w:r w:rsidRPr="001E5D42">
        <w:rPr>
          <w:rFonts w:eastAsia="Times New Roman"/>
        </w:rPr>
        <w:t xml:space="preserve"> situationer, hvor der er en forælder</w:t>
      </w:r>
      <w:r w:rsidR="00FD0806">
        <w:rPr>
          <w:rFonts w:eastAsia="Times New Roman"/>
        </w:rPr>
        <w:t>,</w:t>
      </w:r>
      <w:r w:rsidRPr="001E5D42">
        <w:rPr>
          <w:rFonts w:eastAsia="Times New Roman"/>
        </w:rPr>
        <w:t xml:space="preserve"> som modarbejder barnets behandling – eller som ikke forstår, hvad behandlingen går ud på (af kognitive og/eller sproglige årsager). Det</w:t>
      </w:r>
      <w:r w:rsidR="00FD0806">
        <w:rPr>
          <w:rFonts w:eastAsia="Times New Roman"/>
        </w:rPr>
        <w:t>te</w:t>
      </w:r>
      <w:r w:rsidRPr="001E5D42">
        <w:rPr>
          <w:rFonts w:eastAsia="Times New Roman"/>
        </w:rPr>
        <w:t xml:space="preserve"> kan </w:t>
      </w:r>
      <w:r w:rsidR="004878E1" w:rsidRPr="001E5D42">
        <w:rPr>
          <w:rFonts w:eastAsia="Times New Roman"/>
        </w:rPr>
        <w:t>medføre</w:t>
      </w:r>
      <w:r w:rsidRPr="001E5D42">
        <w:rPr>
          <w:rFonts w:eastAsia="Times New Roman"/>
        </w:rPr>
        <w:t xml:space="preserve"> en væsentlig udvidelse af kommunens </w:t>
      </w:r>
      <w:r w:rsidRPr="00BA722B">
        <w:rPr>
          <w:rFonts w:eastAsia="Times New Roman"/>
        </w:rPr>
        <w:t>forpligtelser.</w:t>
      </w:r>
      <w:r w:rsidR="007156D4" w:rsidRPr="00BA722B">
        <w:rPr>
          <w:rFonts w:eastAsia="Times New Roman"/>
        </w:rPr>
        <w:t xml:space="preserve"> Der bør derfor henvises til regler, lovgivning eller </w:t>
      </w:r>
      <w:r w:rsidR="007156D4" w:rsidRPr="0030769C">
        <w:rPr>
          <w:rFonts w:eastAsia="Times New Roman"/>
        </w:rPr>
        <w:t>bestemmelser</w:t>
      </w:r>
      <w:r w:rsidR="00FD0806" w:rsidRPr="0030769C">
        <w:rPr>
          <w:rFonts w:eastAsia="Times New Roman"/>
        </w:rPr>
        <w:t>, der gør sig gældende i de</w:t>
      </w:r>
      <w:r w:rsidR="007156D4" w:rsidRPr="001E5D42">
        <w:rPr>
          <w:rFonts w:eastAsia="Times New Roman"/>
        </w:rPr>
        <w:t xml:space="preserve"> mere komplicerede situationer</w:t>
      </w:r>
      <w:r w:rsidR="00FD0806">
        <w:rPr>
          <w:rFonts w:eastAsia="Times New Roman"/>
        </w:rPr>
        <w:t>.</w:t>
      </w:r>
    </w:p>
    <w:p w14:paraId="0D8895AB" w14:textId="785BF33D" w:rsidR="004878E1" w:rsidRPr="001E5D42" w:rsidRDefault="00CF526F" w:rsidP="00335A0B">
      <w:pPr>
        <w:numPr>
          <w:ilvl w:val="0"/>
          <w:numId w:val="2"/>
        </w:numPr>
        <w:spacing w:after="0" w:line="276" w:lineRule="auto"/>
        <w:rPr>
          <w:rFonts w:eastAsia="Times New Roman"/>
        </w:rPr>
      </w:pPr>
      <w:r w:rsidRPr="001E5D42">
        <w:rPr>
          <w:rFonts w:eastAsia="Times New Roman"/>
        </w:rPr>
        <w:t>Aftalen omfatter også pædagogisk støtte</w:t>
      </w:r>
      <w:r w:rsidR="00FD0806">
        <w:rPr>
          <w:rFonts w:eastAsia="Times New Roman"/>
        </w:rPr>
        <w:t>,</w:t>
      </w:r>
      <w:r w:rsidRPr="001E5D42">
        <w:rPr>
          <w:rFonts w:eastAsia="Times New Roman"/>
        </w:rPr>
        <w:t xml:space="preserve"> som er nødvendig</w:t>
      </w:r>
      <w:r w:rsidR="00FD0806">
        <w:rPr>
          <w:rFonts w:eastAsia="Times New Roman"/>
        </w:rPr>
        <w:t>t,</w:t>
      </w:r>
      <w:r w:rsidRPr="001E5D42">
        <w:rPr>
          <w:rFonts w:eastAsia="Times New Roman"/>
        </w:rPr>
        <w:t xml:space="preserve"> for at borgeren kan have en adfærd, som gør de</w:t>
      </w:r>
      <w:r w:rsidR="00FD0806">
        <w:rPr>
          <w:rFonts w:eastAsia="Times New Roman"/>
        </w:rPr>
        <w:t>t</w:t>
      </w:r>
      <w:r w:rsidRPr="001E5D42">
        <w:rPr>
          <w:rFonts w:eastAsia="Times New Roman"/>
        </w:rPr>
        <w:t xml:space="preserve"> muligt at gennemføre sygehusbehandlingen. </w:t>
      </w:r>
      <w:r w:rsidR="007156D4" w:rsidRPr="001E5D42">
        <w:rPr>
          <w:rFonts w:eastAsia="Times New Roman"/>
        </w:rPr>
        <w:t>K</w:t>
      </w:r>
      <w:r w:rsidR="004878E1" w:rsidRPr="001E5D42">
        <w:rPr>
          <w:rFonts w:eastAsia="Times New Roman"/>
        </w:rPr>
        <w:t>ommuner</w:t>
      </w:r>
      <w:r w:rsidR="007156D4" w:rsidRPr="001E5D42">
        <w:rPr>
          <w:rFonts w:eastAsia="Times New Roman"/>
        </w:rPr>
        <w:t>ne</w:t>
      </w:r>
      <w:r w:rsidRPr="001E5D42">
        <w:rPr>
          <w:rFonts w:eastAsia="Times New Roman"/>
        </w:rPr>
        <w:t xml:space="preserve"> ser en risiko for, at sygehuspersonalet vil kræve, at det kommunale </w:t>
      </w:r>
      <w:r w:rsidRPr="00BA722B">
        <w:rPr>
          <w:rFonts w:eastAsia="Times New Roman"/>
        </w:rPr>
        <w:t>personale anvender magt.</w:t>
      </w:r>
      <w:r w:rsidR="007156D4" w:rsidRPr="00BA722B">
        <w:rPr>
          <w:rFonts w:eastAsia="Times New Roman"/>
        </w:rPr>
        <w:t xml:space="preserve"> Der</w:t>
      </w:r>
      <w:r w:rsidR="007156D4" w:rsidRPr="001E5D42">
        <w:rPr>
          <w:rFonts w:eastAsia="Times New Roman"/>
        </w:rPr>
        <w:t xml:space="preserve"> bør henvises til</w:t>
      </w:r>
      <w:r w:rsidR="009563DC">
        <w:rPr>
          <w:rFonts w:eastAsia="Times New Roman"/>
        </w:rPr>
        <w:t>,</w:t>
      </w:r>
      <w:r w:rsidR="007156D4" w:rsidRPr="001E5D42">
        <w:rPr>
          <w:rFonts w:eastAsia="Times New Roman"/>
        </w:rPr>
        <w:t xml:space="preserve"> hvilke regler og lovgivning der arbejdes under i disse tilfælde for hhv. kommunale og regionale medarbejdere. </w:t>
      </w:r>
      <w:r w:rsidRPr="001E5D42">
        <w:rPr>
          <w:rFonts w:eastAsia="Times New Roman"/>
        </w:rPr>
        <w:t xml:space="preserve"> </w:t>
      </w:r>
    </w:p>
    <w:p w14:paraId="4BE266A9" w14:textId="5CAAF8C4" w:rsidR="0099028B" w:rsidRPr="0030769C" w:rsidRDefault="005F266F" w:rsidP="00BA722B">
      <w:pPr>
        <w:numPr>
          <w:ilvl w:val="0"/>
          <w:numId w:val="2"/>
        </w:numPr>
        <w:spacing w:after="0" w:line="276" w:lineRule="auto"/>
        <w:rPr>
          <w:rFonts w:eastAsia="Times New Roman"/>
        </w:rPr>
      </w:pPr>
      <w:r>
        <w:rPr>
          <w:rFonts w:eastAsia="Times New Roman"/>
        </w:rPr>
        <w:t xml:space="preserve">Der er i aftalen </w:t>
      </w:r>
      <w:r w:rsidR="00CF526F" w:rsidRPr="0030769C">
        <w:rPr>
          <w:rFonts w:eastAsia="Times New Roman"/>
        </w:rPr>
        <w:t xml:space="preserve">indskrevet en fire timers grænse for, hvornår sygehuset overtager betalingsforpligtelsen i akutte forløb. </w:t>
      </w:r>
      <w:r>
        <w:rPr>
          <w:rFonts w:eastAsia="Times New Roman"/>
        </w:rPr>
        <w:t>Dette vil konkret betyde, at det</w:t>
      </w:r>
      <w:r w:rsidR="00BA722B">
        <w:rPr>
          <w:rFonts w:eastAsia="Times New Roman"/>
        </w:rPr>
        <w:t>, i disse tilfælde,</w:t>
      </w:r>
      <w:r>
        <w:rPr>
          <w:rFonts w:eastAsia="Times New Roman"/>
        </w:rPr>
        <w:t xml:space="preserve"> er kommunen der</w:t>
      </w:r>
      <w:r w:rsidR="00CF526F" w:rsidRPr="0030769C">
        <w:rPr>
          <w:rFonts w:eastAsia="Times New Roman"/>
        </w:rPr>
        <w:t xml:space="preserve"> skal betale for personalet op til fire timer efter ankomst til sygehus</w:t>
      </w:r>
      <w:r>
        <w:rPr>
          <w:rFonts w:eastAsia="Times New Roman"/>
        </w:rPr>
        <w:t xml:space="preserve">. Dette bør tydeliggøres i aftalen. </w:t>
      </w:r>
    </w:p>
    <w:p w14:paraId="47893B4F" w14:textId="0334FFA0" w:rsidR="00CF526F" w:rsidRPr="001E5D42" w:rsidRDefault="004878E1" w:rsidP="00335A0B">
      <w:pPr>
        <w:numPr>
          <w:ilvl w:val="0"/>
          <w:numId w:val="2"/>
        </w:numPr>
        <w:spacing w:after="0" w:line="276" w:lineRule="auto"/>
        <w:rPr>
          <w:rFonts w:eastAsia="Times New Roman"/>
        </w:rPr>
      </w:pPr>
      <w:r w:rsidRPr="001E5D42">
        <w:rPr>
          <w:rFonts w:eastAsia="Times New Roman"/>
        </w:rPr>
        <w:t>Et yderligere opmærksomhedspunkt fra kommunerne er v</w:t>
      </w:r>
      <w:r w:rsidR="00CF526F" w:rsidRPr="001E5D42">
        <w:rPr>
          <w:rFonts w:eastAsia="Times New Roman"/>
        </w:rPr>
        <w:t>edr. borgere med personlige hjælpere i hjemmet</w:t>
      </w:r>
      <w:r w:rsidRPr="001E5D42">
        <w:rPr>
          <w:rFonts w:eastAsia="Times New Roman"/>
        </w:rPr>
        <w:t>.</w:t>
      </w:r>
      <w:r w:rsidR="00CF526F" w:rsidRPr="001E5D42">
        <w:rPr>
          <w:rFonts w:eastAsia="Times New Roman"/>
        </w:rPr>
        <w:t xml:space="preserve"> Det anføres</w:t>
      </w:r>
      <w:r w:rsidRPr="001E5D42">
        <w:rPr>
          <w:rFonts w:eastAsia="Times New Roman"/>
        </w:rPr>
        <w:t xml:space="preserve"> i aftalen</w:t>
      </w:r>
      <w:r w:rsidR="00CF526F" w:rsidRPr="001E5D42">
        <w:rPr>
          <w:rFonts w:eastAsia="Times New Roman"/>
        </w:rPr>
        <w:t>, at der kan indgås aftale om personlig</w:t>
      </w:r>
      <w:r w:rsidRPr="001E5D42">
        <w:rPr>
          <w:rFonts w:eastAsia="Times New Roman"/>
        </w:rPr>
        <w:t>e</w:t>
      </w:r>
      <w:r w:rsidR="00CF526F" w:rsidRPr="001E5D42">
        <w:rPr>
          <w:rFonts w:eastAsia="Times New Roman"/>
        </w:rPr>
        <w:t xml:space="preserve"> hjælper</w:t>
      </w:r>
      <w:r w:rsidRPr="001E5D42">
        <w:rPr>
          <w:rFonts w:eastAsia="Times New Roman"/>
        </w:rPr>
        <w:t>e</w:t>
      </w:r>
      <w:r w:rsidR="00CF526F" w:rsidRPr="001E5D42">
        <w:rPr>
          <w:rFonts w:eastAsia="Times New Roman"/>
        </w:rPr>
        <w:t>s medvirken via standardkontrakten (med kommunen). Dette er ikke</w:t>
      </w:r>
      <w:r w:rsidRPr="001E5D42">
        <w:rPr>
          <w:rFonts w:eastAsia="Times New Roman"/>
        </w:rPr>
        <w:t xml:space="preserve"> i alle tilfælde</w:t>
      </w:r>
      <w:r w:rsidR="00CF526F" w:rsidRPr="001E5D42">
        <w:rPr>
          <w:rFonts w:eastAsia="Times New Roman"/>
        </w:rPr>
        <w:t xml:space="preserve"> hensigtsmæssigt, da det</w:t>
      </w:r>
      <w:r w:rsidRPr="001E5D42">
        <w:rPr>
          <w:rFonts w:eastAsia="Times New Roman"/>
        </w:rPr>
        <w:t xml:space="preserve"> ofte</w:t>
      </w:r>
      <w:r w:rsidR="00CF526F" w:rsidRPr="001E5D42">
        <w:rPr>
          <w:rFonts w:eastAsia="Times New Roman"/>
        </w:rPr>
        <w:t xml:space="preserve"> er borgeren selv (eller evt. et arbejdsgiverfirma), der aflønner hjælpern</w:t>
      </w:r>
      <w:r w:rsidRPr="001E5D42">
        <w:rPr>
          <w:rFonts w:eastAsia="Times New Roman"/>
        </w:rPr>
        <w:t>e</w:t>
      </w:r>
      <w:r w:rsidR="00CF526F" w:rsidRPr="001E5D42">
        <w:rPr>
          <w:rFonts w:eastAsia="Times New Roman"/>
        </w:rPr>
        <w:t xml:space="preserve">. Kommunen bør ikke </w:t>
      </w:r>
      <w:r w:rsidR="00C41DED">
        <w:rPr>
          <w:rFonts w:eastAsia="Times New Roman"/>
        </w:rPr>
        <w:t>ind</w:t>
      </w:r>
      <w:r w:rsidR="00CF526F" w:rsidRPr="001E5D42">
        <w:rPr>
          <w:rFonts w:eastAsia="Times New Roman"/>
        </w:rPr>
        <w:t>blandes i dette mellemværende mellem sygehuset og borgeren/arbejdsgiverfirmaet.</w:t>
      </w:r>
      <w:r w:rsidRPr="001E5D42">
        <w:rPr>
          <w:rFonts w:eastAsia="Times New Roman"/>
        </w:rPr>
        <w:t xml:space="preserve"> Dette bør derfor udspecificeres. </w:t>
      </w:r>
    </w:p>
    <w:p w14:paraId="76B51E56" w14:textId="77777777" w:rsidR="00CF526F" w:rsidRDefault="00CF526F" w:rsidP="00335A0B">
      <w:pPr>
        <w:spacing w:line="276" w:lineRule="auto"/>
        <w:jc w:val="both"/>
        <w:rPr>
          <w:b/>
        </w:rPr>
      </w:pPr>
    </w:p>
    <w:p w14:paraId="1D59C4E0" w14:textId="77777777" w:rsidR="00335A0B" w:rsidRDefault="00335A0B" w:rsidP="00335A0B">
      <w:pPr>
        <w:spacing w:line="276" w:lineRule="auto"/>
        <w:jc w:val="both"/>
        <w:rPr>
          <w:b/>
        </w:rPr>
      </w:pPr>
    </w:p>
    <w:p w14:paraId="17E29421" w14:textId="77777777" w:rsidR="00335A0B" w:rsidRPr="001E5D42" w:rsidRDefault="00335A0B" w:rsidP="00335A0B">
      <w:pPr>
        <w:spacing w:line="276" w:lineRule="auto"/>
        <w:jc w:val="both"/>
        <w:rPr>
          <w:b/>
        </w:rPr>
      </w:pPr>
    </w:p>
    <w:p w14:paraId="6A5965CA" w14:textId="77777777" w:rsidR="00E34257" w:rsidRPr="001E5D42" w:rsidRDefault="00E34257" w:rsidP="00335A0B">
      <w:pPr>
        <w:pStyle w:val="Listeafsnit"/>
        <w:spacing w:line="276" w:lineRule="auto"/>
        <w:ind w:left="0"/>
        <w:jc w:val="both"/>
        <w:rPr>
          <w:rFonts w:asciiTheme="minorHAnsi" w:hAnsiTheme="minorHAnsi"/>
          <w:b/>
          <w:sz w:val="22"/>
        </w:rPr>
      </w:pPr>
      <w:r w:rsidRPr="001E5D42">
        <w:rPr>
          <w:rFonts w:asciiTheme="minorHAnsi" w:hAnsiTheme="minorHAnsi"/>
          <w:b/>
          <w:sz w:val="22"/>
        </w:rPr>
        <w:lastRenderedPageBreak/>
        <w:t>Specifikke kommentarer</w:t>
      </w:r>
    </w:p>
    <w:p w14:paraId="02A2F23E" w14:textId="77777777" w:rsidR="004D5F79" w:rsidRPr="001E5D42" w:rsidRDefault="004D5F79" w:rsidP="00335A0B">
      <w:pPr>
        <w:spacing w:line="276" w:lineRule="auto"/>
        <w:jc w:val="both"/>
        <w:rPr>
          <w:rFonts w:cstheme="minorHAnsi"/>
        </w:rPr>
      </w:pPr>
      <w:r w:rsidRPr="001E5D42">
        <w:rPr>
          <w:rFonts w:cstheme="minorHAnsi"/>
        </w:rPr>
        <w:t>De syddanske kommuner har følgende specifikke bemærkninger til forløbsprogrammet:</w:t>
      </w:r>
    </w:p>
    <w:p w14:paraId="4033F1AA" w14:textId="77777777" w:rsidR="007F5245" w:rsidRPr="001E5D42" w:rsidRDefault="007F5245" w:rsidP="00335A0B">
      <w:pPr>
        <w:spacing w:line="276" w:lineRule="auto"/>
        <w:rPr>
          <w:rFonts w:cstheme="minorHAnsi"/>
          <w:b/>
        </w:rPr>
      </w:pPr>
      <w:r w:rsidRPr="001E5D42">
        <w:rPr>
          <w:rFonts w:cstheme="minorHAnsi"/>
          <w:b/>
        </w:rPr>
        <w:t xml:space="preserve">Målgruppe (s.1): </w:t>
      </w:r>
    </w:p>
    <w:p w14:paraId="23CAE8FE" w14:textId="77777777" w:rsidR="007F5245" w:rsidRPr="001E5D42" w:rsidRDefault="007F5245" w:rsidP="00335A0B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1E5D42">
        <w:rPr>
          <w:rFonts w:asciiTheme="minorHAnsi" w:hAnsiTheme="minorHAnsi" w:cstheme="minorHAnsi"/>
          <w:sz w:val="22"/>
        </w:rPr>
        <w:t xml:space="preserve">Afsnit 4: </w:t>
      </w:r>
    </w:p>
    <w:p w14:paraId="3A5927C6" w14:textId="428CE239" w:rsidR="007F5245" w:rsidRPr="001E5D42" w:rsidRDefault="007F5245" w:rsidP="00335A0B">
      <w:pPr>
        <w:pStyle w:val="Listeafsnit"/>
        <w:spacing w:line="276" w:lineRule="auto"/>
        <w:rPr>
          <w:rFonts w:asciiTheme="minorHAnsi" w:hAnsiTheme="minorHAnsi" w:cstheme="minorHAnsi"/>
          <w:sz w:val="22"/>
        </w:rPr>
      </w:pPr>
      <w:r w:rsidRPr="001E5D42">
        <w:rPr>
          <w:rFonts w:asciiTheme="minorHAnsi" w:hAnsiTheme="minorHAnsi" w:cstheme="minorHAnsi"/>
          <w:sz w:val="22"/>
        </w:rPr>
        <w:t>Det bør præciseres, at alle borgere uanset alder stadig er afgrænset inden</w:t>
      </w:r>
      <w:r w:rsidR="009563DC">
        <w:rPr>
          <w:rFonts w:asciiTheme="minorHAnsi" w:hAnsiTheme="minorHAnsi" w:cstheme="minorHAnsi"/>
          <w:sz w:val="22"/>
        </w:rPr>
        <w:t xml:space="preserve"> </w:t>
      </w:r>
      <w:r w:rsidRPr="001E5D42">
        <w:rPr>
          <w:rFonts w:asciiTheme="minorHAnsi" w:hAnsiTheme="minorHAnsi" w:cstheme="minorHAnsi"/>
          <w:sz w:val="22"/>
        </w:rPr>
        <w:t>for målgruppen ”borgere med betydelig nedsat fysisk eller psykisk funktionsevne eller særlige sociale problemer”. Alternativt kan afsnittet skrives sammen med eller i tilknytning til afsnit 2 under målgruppe.</w:t>
      </w:r>
    </w:p>
    <w:p w14:paraId="0957A60F" w14:textId="77777777" w:rsidR="007F5245" w:rsidRPr="001E5D42" w:rsidRDefault="007F5245" w:rsidP="00335A0B">
      <w:pPr>
        <w:spacing w:line="276" w:lineRule="auto"/>
        <w:jc w:val="both"/>
        <w:rPr>
          <w:rFonts w:cstheme="minorHAnsi"/>
          <w:b/>
        </w:rPr>
      </w:pPr>
    </w:p>
    <w:p w14:paraId="028A39BC" w14:textId="77777777" w:rsidR="004D5F79" w:rsidRPr="001E5D42" w:rsidRDefault="004D5F79" w:rsidP="00335A0B">
      <w:pPr>
        <w:spacing w:line="276" w:lineRule="auto"/>
        <w:jc w:val="both"/>
        <w:rPr>
          <w:rFonts w:cstheme="minorHAnsi"/>
          <w:b/>
        </w:rPr>
      </w:pPr>
      <w:r w:rsidRPr="001E5D42">
        <w:rPr>
          <w:rFonts w:cstheme="minorHAnsi"/>
          <w:b/>
        </w:rPr>
        <w:t>Generelle forpligtigelser (s.2):</w:t>
      </w:r>
    </w:p>
    <w:p w14:paraId="0BD5A230" w14:textId="77777777" w:rsidR="004D5F79" w:rsidRPr="001E5D42" w:rsidRDefault="007F5245" w:rsidP="00335A0B">
      <w:pPr>
        <w:pStyle w:val="Listeafsni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1E5D42">
        <w:rPr>
          <w:rFonts w:asciiTheme="minorHAnsi" w:hAnsiTheme="minorHAnsi" w:cstheme="minorHAnsi"/>
          <w:sz w:val="22"/>
        </w:rPr>
        <w:t>A</w:t>
      </w:r>
      <w:r w:rsidR="004D5F79" w:rsidRPr="001E5D42">
        <w:rPr>
          <w:rFonts w:asciiTheme="minorHAnsi" w:hAnsiTheme="minorHAnsi" w:cstheme="minorHAnsi"/>
          <w:sz w:val="22"/>
        </w:rPr>
        <w:t>fsnit tre:  </w:t>
      </w:r>
    </w:p>
    <w:p w14:paraId="1DBBCA75" w14:textId="77777777" w:rsidR="003541DC" w:rsidRPr="001E5D42" w:rsidRDefault="003541DC" w:rsidP="00335A0B">
      <w:pPr>
        <w:pStyle w:val="Listeafsnit"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1E5D42">
        <w:rPr>
          <w:rFonts w:asciiTheme="minorHAnsi" w:hAnsiTheme="minorHAnsi" w:cstheme="minorHAnsi"/>
          <w:i/>
          <w:iCs/>
          <w:sz w:val="22"/>
        </w:rPr>
        <w:t>”Det bemærkes, at hvis borgeren har et behov for bistand, som ikke er relateret til sygehusbehandlingen, og</w:t>
      </w:r>
      <w:r w:rsidR="004D5F79" w:rsidRPr="001E5D42">
        <w:rPr>
          <w:rFonts w:asciiTheme="minorHAnsi" w:hAnsiTheme="minorHAnsi" w:cstheme="minorHAnsi"/>
          <w:i/>
          <w:iCs/>
          <w:sz w:val="22"/>
        </w:rPr>
        <w:t xml:space="preserve"> </w:t>
      </w:r>
      <w:r w:rsidRPr="001E5D42">
        <w:rPr>
          <w:rFonts w:asciiTheme="minorHAnsi" w:hAnsiTheme="minorHAnsi" w:cstheme="minorHAnsi"/>
          <w:i/>
          <w:iCs/>
          <w:sz w:val="22"/>
        </w:rPr>
        <w:t>som kommunen ville give borgeren, uanset om vedkommende var på sygehuset eller ej, er det fortsat en</w:t>
      </w:r>
      <w:r w:rsidR="004D5F79" w:rsidRPr="001E5D42">
        <w:rPr>
          <w:rFonts w:asciiTheme="minorHAnsi" w:hAnsiTheme="minorHAnsi" w:cstheme="minorHAnsi"/>
          <w:i/>
          <w:iCs/>
          <w:sz w:val="22"/>
        </w:rPr>
        <w:t xml:space="preserve"> </w:t>
      </w:r>
      <w:r w:rsidRPr="001E5D42">
        <w:rPr>
          <w:rFonts w:asciiTheme="minorHAnsi" w:hAnsiTheme="minorHAnsi" w:cstheme="minorHAnsi"/>
          <w:i/>
          <w:iCs/>
          <w:sz w:val="22"/>
        </w:rPr>
        <w:t>kommunal opgave at yde denne bistand.”</w:t>
      </w:r>
    </w:p>
    <w:p w14:paraId="4852ABC2" w14:textId="77777777" w:rsidR="003541DC" w:rsidRPr="001E5D42" w:rsidRDefault="003541DC" w:rsidP="00335A0B">
      <w:pPr>
        <w:spacing w:line="276" w:lineRule="auto"/>
        <w:rPr>
          <w:color w:val="1F497D"/>
        </w:rPr>
      </w:pPr>
    </w:p>
    <w:p w14:paraId="26940416" w14:textId="4FC3079F" w:rsidR="003541DC" w:rsidRPr="001E5D42" w:rsidRDefault="004D5F79" w:rsidP="00335A0B">
      <w:pPr>
        <w:spacing w:line="276" w:lineRule="auto"/>
        <w:ind w:left="720"/>
      </w:pPr>
      <w:r w:rsidRPr="001E5D42">
        <w:t>Sætningen er uklar</w:t>
      </w:r>
      <w:r w:rsidR="009563DC">
        <w:t>.</w:t>
      </w:r>
      <w:r w:rsidR="005F266F">
        <w:t xml:space="preserve"> </w:t>
      </w:r>
      <w:r w:rsidR="005F266F" w:rsidRPr="001E5D42">
        <w:rPr>
          <w:rFonts w:cstheme="minorHAnsi"/>
        </w:rPr>
        <w:t xml:space="preserve">Det bør konkretiseres, hvilke former for hjælp, der kan være tale om. Alternativt bør afsnittet fjernes. </w:t>
      </w:r>
      <w:r w:rsidRPr="001E5D42">
        <w:t xml:space="preserve"> </w:t>
      </w:r>
      <w:r w:rsidR="005F266F">
        <w:t xml:space="preserve"> Det kan overvejes</w:t>
      </w:r>
      <w:r w:rsidR="003541DC" w:rsidRPr="001E5D42">
        <w:t xml:space="preserve"> </w:t>
      </w:r>
      <w:r w:rsidRPr="001E5D42">
        <w:t>at</w:t>
      </w:r>
      <w:r w:rsidR="003541DC" w:rsidRPr="001E5D42">
        <w:t xml:space="preserve"> supplere</w:t>
      </w:r>
      <w:r w:rsidRPr="001E5D42">
        <w:t xml:space="preserve"> afsnittet</w:t>
      </w:r>
      <w:r w:rsidR="003541DC" w:rsidRPr="001E5D42">
        <w:t xml:space="preserve"> med et par eksempler</w:t>
      </w:r>
      <w:r w:rsidRPr="001E5D42">
        <w:t>,</w:t>
      </w:r>
      <w:r w:rsidR="003541DC" w:rsidRPr="001E5D42">
        <w:t xml:space="preserve"> </w:t>
      </w:r>
      <w:proofErr w:type="gramStart"/>
      <w:r w:rsidR="003541DC" w:rsidRPr="001E5D42">
        <w:t>så</w:t>
      </w:r>
      <w:r w:rsidR="005F266F">
        <w:t>ledes</w:t>
      </w:r>
      <w:r w:rsidR="003541DC" w:rsidRPr="001E5D42">
        <w:t xml:space="preserve"> at</w:t>
      </w:r>
      <w:proofErr w:type="gramEnd"/>
      <w:r w:rsidR="003541DC" w:rsidRPr="001E5D42">
        <w:t xml:space="preserve"> man </w:t>
      </w:r>
      <w:r w:rsidRPr="001E5D42">
        <w:t>undgår</w:t>
      </w:r>
      <w:r w:rsidR="003541DC" w:rsidRPr="001E5D42">
        <w:t xml:space="preserve"> uenighed i forhold til tolkningen af ”behov for bistand”. </w:t>
      </w:r>
    </w:p>
    <w:p w14:paraId="188AB590" w14:textId="77777777" w:rsidR="003541DC" w:rsidRPr="001E5D42" w:rsidRDefault="003541DC" w:rsidP="00335A0B">
      <w:pPr>
        <w:spacing w:line="276" w:lineRule="auto"/>
        <w:rPr>
          <w:rFonts w:ascii="Verdana" w:hAnsi="Verdana"/>
        </w:rPr>
      </w:pPr>
    </w:p>
    <w:p w14:paraId="1C641BD3" w14:textId="77777777" w:rsidR="003541DC" w:rsidRPr="001E5D42" w:rsidRDefault="007F5245" w:rsidP="00335A0B">
      <w:pPr>
        <w:spacing w:line="276" w:lineRule="auto"/>
        <w:rPr>
          <w:rFonts w:cstheme="minorHAnsi"/>
          <w:b/>
        </w:rPr>
      </w:pPr>
      <w:r w:rsidRPr="001E5D42">
        <w:rPr>
          <w:rFonts w:cstheme="minorHAnsi"/>
          <w:b/>
        </w:rPr>
        <w:t>A</w:t>
      </w:r>
      <w:r w:rsidR="003541DC" w:rsidRPr="001E5D42">
        <w:rPr>
          <w:rFonts w:cstheme="minorHAnsi"/>
          <w:b/>
        </w:rPr>
        <w:t>kutte forløb</w:t>
      </w:r>
      <w:r w:rsidRPr="001E5D42">
        <w:rPr>
          <w:rFonts w:cstheme="minorHAnsi"/>
          <w:b/>
        </w:rPr>
        <w:t xml:space="preserve"> (s.3):</w:t>
      </w:r>
    </w:p>
    <w:p w14:paraId="478C1E35" w14:textId="77777777" w:rsidR="007F5245" w:rsidRPr="001E5D42" w:rsidRDefault="003541DC" w:rsidP="00335A0B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1E5D42">
        <w:rPr>
          <w:rFonts w:asciiTheme="minorHAnsi" w:hAnsiTheme="minorHAnsi" w:cstheme="minorHAnsi"/>
          <w:sz w:val="22"/>
        </w:rPr>
        <w:t xml:space="preserve">Afsnit </w:t>
      </w:r>
      <w:r w:rsidR="007F5245" w:rsidRPr="001E5D42">
        <w:rPr>
          <w:rFonts w:asciiTheme="minorHAnsi" w:hAnsiTheme="minorHAnsi" w:cstheme="minorHAnsi"/>
          <w:sz w:val="22"/>
        </w:rPr>
        <w:t>4</w:t>
      </w:r>
      <w:r w:rsidRPr="001E5D42">
        <w:rPr>
          <w:rFonts w:asciiTheme="minorHAnsi" w:hAnsiTheme="minorHAnsi" w:cstheme="minorHAnsi"/>
          <w:sz w:val="22"/>
        </w:rPr>
        <w:t xml:space="preserve">: </w:t>
      </w:r>
    </w:p>
    <w:p w14:paraId="656FA5B4" w14:textId="77777777" w:rsidR="003541DC" w:rsidRPr="001E5D42" w:rsidRDefault="003541DC" w:rsidP="00335A0B">
      <w:pPr>
        <w:pStyle w:val="Listeafsnit"/>
        <w:spacing w:line="276" w:lineRule="auto"/>
        <w:rPr>
          <w:rFonts w:asciiTheme="minorHAnsi" w:hAnsiTheme="minorHAnsi" w:cstheme="minorHAnsi"/>
          <w:sz w:val="22"/>
        </w:rPr>
      </w:pPr>
      <w:r w:rsidRPr="001E5D42">
        <w:rPr>
          <w:rFonts w:asciiTheme="minorHAnsi" w:hAnsiTheme="minorHAnsi" w:cstheme="minorHAnsi"/>
          <w:sz w:val="22"/>
        </w:rPr>
        <w:t xml:space="preserve">Kommunens forpligtigelse til at give ID-armbånd på bør præciseres, således forpligtigelsen alene er der, når kommunen er tilstede hos borgeren forud for det akutte behandlingsforløb. </w:t>
      </w:r>
    </w:p>
    <w:p w14:paraId="0734CB0D" w14:textId="77777777" w:rsidR="003541DC" w:rsidRPr="00E34257" w:rsidRDefault="003541DC" w:rsidP="00E34257"/>
    <w:sectPr w:rsidR="003541DC" w:rsidRPr="00E3425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34033" w14:textId="77777777" w:rsidR="00120790" w:rsidRDefault="00120790" w:rsidP="008E4582">
      <w:pPr>
        <w:spacing w:after="0" w:line="240" w:lineRule="auto"/>
      </w:pPr>
      <w:r>
        <w:separator/>
      </w:r>
    </w:p>
  </w:endnote>
  <w:endnote w:type="continuationSeparator" w:id="0">
    <w:p w14:paraId="59E7C241" w14:textId="77777777" w:rsidR="00120790" w:rsidRDefault="00120790" w:rsidP="008E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7335704"/>
      <w:docPartObj>
        <w:docPartGallery w:val="Page Numbers (Bottom of Page)"/>
        <w:docPartUnique/>
      </w:docPartObj>
    </w:sdtPr>
    <w:sdtEndPr/>
    <w:sdtContent>
      <w:p w14:paraId="6171CDCC" w14:textId="77777777" w:rsidR="008E4582" w:rsidRDefault="008E458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F0FC53" w14:textId="77777777" w:rsidR="008E4582" w:rsidRDefault="008E458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85EBF" w14:textId="77777777" w:rsidR="00120790" w:rsidRDefault="00120790" w:rsidP="008E4582">
      <w:pPr>
        <w:spacing w:after="0" w:line="240" w:lineRule="auto"/>
      </w:pPr>
      <w:r>
        <w:separator/>
      </w:r>
    </w:p>
  </w:footnote>
  <w:footnote w:type="continuationSeparator" w:id="0">
    <w:p w14:paraId="04469DD9" w14:textId="77777777" w:rsidR="00120790" w:rsidRDefault="00120790" w:rsidP="008E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3350" w14:textId="784B0747" w:rsidR="008E4582" w:rsidRDefault="001E5D42">
    <w:pPr>
      <w:pStyle w:val="Sidehoved"/>
    </w:pPr>
    <w:r w:rsidRPr="004025DF"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240A4B9D" wp14:editId="3A037936">
          <wp:simplePos x="0" y="0"/>
          <wp:positionH relativeFrom="column">
            <wp:posOffset>4880610</wp:posOffset>
          </wp:positionH>
          <wp:positionV relativeFrom="paragraph">
            <wp:posOffset>83820</wp:posOffset>
          </wp:positionV>
          <wp:extent cx="1695450" cy="456565"/>
          <wp:effectExtent l="0" t="0" r="0" b="635"/>
          <wp:wrapTight wrapText="bothSides">
            <wp:wrapPolygon edited="0">
              <wp:start x="0" y="0"/>
              <wp:lineTo x="0" y="20729"/>
              <wp:lineTo x="21357" y="20729"/>
              <wp:lineTo x="21357" y="0"/>
              <wp:lineTo x="0" y="0"/>
            </wp:wrapPolygon>
          </wp:wrapTight>
          <wp:docPr id="5" name="Billede 4" descr="Logo m 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4" descr="Logo m tekst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565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24DE8C8" wp14:editId="71E8042A">
          <wp:simplePos x="0" y="0"/>
          <wp:positionH relativeFrom="margin">
            <wp:posOffset>4909185</wp:posOffset>
          </wp:positionH>
          <wp:positionV relativeFrom="paragraph">
            <wp:posOffset>-363855</wp:posOffset>
          </wp:positionV>
          <wp:extent cx="1696085" cy="346075"/>
          <wp:effectExtent l="0" t="0" r="0" b="0"/>
          <wp:wrapSquare wrapText="bothSides"/>
          <wp:docPr id="1" name="Billede 0" descr="FKS-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FKS-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34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4582">
      <w:t>Den 1</w:t>
    </w:r>
    <w:r w:rsidR="00486284">
      <w:t>5</w:t>
    </w:r>
    <w:r w:rsidR="008E4582">
      <w:t>. januar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472"/>
    <w:multiLevelType w:val="hybridMultilevel"/>
    <w:tmpl w:val="505A1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ED"/>
    <w:multiLevelType w:val="hybridMultilevel"/>
    <w:tmpl w:val="C04CC5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82"/>
    <w:rsid w:val="000A1C6E"/>
    <w:rsid w:val="00120790"/>
    <w:rsid w:val="001E5D42"/>
    <w:rsid w:val="0030769C"/>
    <w:rsid w:val="00335A0B"/>
    <w:rsid w:val="003541DC"/>
    <w:rsid w:val="00384466"/>
    <w:rsid w:val="00486284"/>
    <w:rsid w:val="004878E1"/>
    <w:rsid w:val="004D5F79"/>
    <w:rsid w:val="005F266F"/>
    <w:rsid w:val="007156D4"/>
    <w:rsid w:val="007F5245"/>
    <w:rsid w:val="008E4582"/>
    <w:rsid w:val="008E6386"/>
    <w:rsid w:val="00906128"/>
    <w:rsid w:val="009563DC"/>
    <w:rsid w:val="0099028B"/>
    <w:rsid w:val="00A34EEB"/>
    <w:rsid w:val="00B67F3E"/>
    <w:rsid w:val="00BA722B"/>
    <w:rsid w:val="00C41DED"/>
    <w:rsid w:val="00CF526F"/>
    <w:rsid w:val="00DE3071"/>
    <w:rsid w:val="00E34257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85160"/>
  <w15:chartTrackingRefBased/>
  <w15:docId w15:val="{316E7CC2-8AD0-4CB2-A6C3-2090C0A1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4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E45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8E4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4582"/>
  </w:style>
  <w:style w:type="paragraph" w:styleId="Sidefod">
    <w:name w:val="footer"/>
    <w:basedOn w:val="Normal"/>
    <w:link w:val="SidefodTegn"/>
    <w:uiPriority w:val="99"/>
    <w:unhideWhenUsed/>
    <w:rsid w:val="008E4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4582"/>
  </w:style>
  <w:style w:type="paragraph" w:styleId="Listeafsnit">
    <w:name w:val="List Paragraph"/>
    <w:basedOn w:val="Normal"/>
    <w:uiPriority w:val="34"/>
    <w:qFormat/>
    <w:rsid w:val="00E34257"/>
    <w:pPr>
      <w:spacing w:after="0" w:line="260" w:lineRule="atLeast"/>
      <w:ind w:left="720"/>
      <w:contextualSpacing/>
    </w:pPr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1C6E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02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028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028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02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02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BB28-AE74-4A3C-9D17-F0514E5D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Helga Overgaard Nielsen</dc:creator>
  <cp:keywords/>
  <dc:description/>
  <cp:lastModifiedBy>Louise Helga Overgaard Nielsen</cp:lastModifiedBy>
  <cp:revision>2</cp:revision>
  <dcterms:created xsi:type="dcterms:W3CDTF">2020-01-15T09:58:00Z</dcterms:created>
  <dcterms:modified xsi:type="dcterms:W3CDTF">2020-01-15T09:58:00Z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{08C66C87-684C-467C-AC2A-ADF7A1A5131F}</vt:lpwstr>
  </property>
</Properties>
</file>