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1E36F" w14:textId="77777777" w:rsidR="008D682A" w:rsidRPr="00744A0C" w:rsidRDefault="00834658">
      <w:pPr>
        <w:pStyle w:val="Overskrift1"/>
        <w:spacing w:before="77"/>
        <w:ind w:left="2043" w:right="2042"/>
        <w:jc w:val="center"/>
        <w:rPr>
          <w:lang w:val="da-DK"/>
        </w:rPr>
      </w:pPr>
      <w:r w:rsidRPr="00744A0C">
        <w:rPr>
          <w:lang w:val="da-DK"/>
        </w:rPr>
        <w:t>Kommissorium for</w:t>
      </w:r>
      <w:r w:rsidR="00FF12E9">
        <w:rPr>
          <w:lang w:val="da-DK"/>
        </w:rPr>
        <w:t xml:space="preserve"> de</w:t>
      </w:r>
      <w:r w:rsidR="00574490">
        <w:rPr>
          <w:lang w:val="da-DK"/>
        </w:rPr>
        <w:t xml:space="preserve"> tre</w:t>
      </w:r>
      <w:r w:rsidR="00FF12E9">
        <w:rPr>
          <w:lang w:val="da-DK"/>
        </w:rPr>
        <w:t xml:space="preserve"> tværgående kompetencegrupper</w:t>
      </w:r>
    </w:p>
    <w:p w14:paraId="669EE0CE" w14:textId="77777777" w:rsidR="008D682A" w:rsidRPr="00744A0C" w:rsidRDefault="008D682A">
      <w:pPr>
        <w:pStyle w:val="Brdtekst"/>
        <w:rPr>
          <w:b/>
          <w:sz w:val="36"/>
          <w:lang w:val="da-DK"/>
        </w:rPr>
      </w:pPr>
    </w:p>
    <w:p w14:paraId="7823239D" w14:textId="77777777" w:rsidR="008D682A" w:rsidRPr="00744A0C" w:rsidRDefault="008D682A">
      <w:pPr>
        <w:pStyle w:val="Brdtekst"/>
        <w:spacing w:before="10"/>
        <w:rPr>
          <w:b/>
          <w:sz w:val="40"/>
          <w:lang w:val="da-DK"/>
        </w:rPr>
      </w:pPr>
    </w:p>
    <w:p w14:paraId="771A23A3" w14:textId="77777777" w:rsidR="008D682A" w:rsidRPr="00744A0C" w:rsidRDefault="00834658">
      <w:pPr>
        <w:pStyle w:val="Overskrift1"/>
        <w:rPr>
          <w:lang w:val="da-DK"/>
        </w:rPr>
      </w:pPr>
      <w:r w:rsidRPr="00744A0C">
        <w:rPr>
          <w:lang w:val="da-DK"/>
        </w:rPr>
        <w:t>Baggrund</w:t>
      </w:r>
    </w:p>
    <w:p w14:paraId="40D609BE" w14:textId="77777777" w:rsidR="008D682A" w:rsidRPr="00744A0C" w:rsidRDefault="00834658">
      <w:pPr>
        <w:pStyle w:val="Brdtekst"/>
        <w:spacing w:before="105" w:line="276" w:lineRule="auto"/>
        <w:ind w:left="213" w:right="410"/>
        <w:rPr>
          <w:lang w:val="da-DK"/>
        </w:rPr>
      </w:pPr>
      <w:r w:rsidRPr="00744A0C">
        <w:rPr>
          <w:lang w:val="da-DK"/>
        </w:rPr>
        <w:t>Region Syddanmark og de 22 syddanske kommuner har indgået Sundhedsaftalen 2019-2023. Aftalen er god- kendt i kommunalbestyrelser og regionsrådet og trådte i kraft den 1. juli 2019.</w:t>
      </w:r>
    </w:p>
    <w:p w14:paraId="6E409CA8" w14:textId="77777777" w:rsidR="008D682A" w:rsidRPr="00744A0C" w:rsidRDefault="008D682A">
      <w:pPr>
        <w:pStyle w:val="Brdtekst"/>
        <w:spacing w:before="11"/>
        <w:rPr>
          <w:sz w:val="22"/>
          <w:lang w:val="da-DK"/>
        </w:rPr>
      </w:pPr>
    </w:p>
    <w:p w14:paraId="3FC6C2AE" w14:textId="77777777" w:rsidR="008D682A" w:rsidRPr="00744A0C" w:rsidRDefault="00834658">
      <w:pPr>
        <w:pStyle w:val="Brdtekst"/>
        <w:spacing w:line="276" w:lineRule="auto"/>
        <w:ind w:left="213" w:right="367"/>
        <w:rPr>
          <w:lang w:val="da-DK"/>
        </w:rPr>
      </w:pPr>
      <w:r w:rsidRPr="00744A0C">
        <w:rPr>
          <w:lang w:val="da-DK"/>
        </w:rPr>
        <w:t>Sundhedsaftalen beskriver de politiske visioner, målsætninger og virkemidler, som Sundhedsaftalens parter er enige om at arbejde for i aftaleperioden 2019-2023. Det administrative tillæg til Sundhedsaftalen beskriver rammerne for det tværsektorielle samarbejde, herunder den administrative organisering.</w:t>
      </w:r>
    </w:p>
    <w:p w14:paraId="47276B8C" w14:textId="77777777" w:rsidR="008D682A" w:rsidRPr="00744A0C" w:rsidRDefault="008D682A">
      <w:pPr>
        <w:pStyle w:val="Brdtekst"/>
        <w:rPr>
          <w:sz w:val="23"/>
          <w:lang w:val="da-DK"/>
        </w:rPr>
      </w:pPr>
    </w:p>
    <w:p w14:paraId="4E55A7A2" w14:textId="77777777" w:rsidR="008D682A" w:rsidRPr="00744A0C" w:rsidRDefault="00834658">
      <w:pPr>
        <w:pStyle w:val="Brdtekst"/>
        <w:spacing w:line="276" w:lineRule="auto"/>
        <w:ind w:left="213" w:right="215"/>
        <w:jc w:val="both"/>
        <w:rPr>
          <w:lang w:val="da-DK"/>
        </w:rPr>
      </w:pPr>
      <w:r w:rsidRPr="00744A0C">
        <w:rPr>
          <w:lang w:val="da-DK"/>
        </w:rPr>
        <w:t>Det overordnede politiske organ på sundhedsaftaleområdet er Sundhedskoordinationsudvalget, og det overord- nede administrative organ er Det Administrative Kontaktforum. Under Det Administrative Kontaktforum etableres følgende fire ligestillede og understøttende følgegrupper:</w:t>
      </w:r>
    </w:p>
    <w:p w14:paraId="470CE085" w14:textId="77777777" w:rsidR="008D682A" w:rsidRPr="00744A0C" w:rsidRDefault="008D682A">
      <w:pPr>
        <w:pStyle w:val="Brdtekst"/>
        <w:rPr>
          <w:sz w:val="23"/>
          <w:lang w:val="da-DK"/>
        </w:rPr>
      </w:pPr>
    </w:p>
    <w:p w14:paraId="540E3305" w14:textId="77777777" w:rsidR="008D682A" w:rsidRDefault="00834658">
      <w:pPr>
        <w:pStyle w:val="Listeafsnit"/>
        <w:numPr>
          <w:ilvl w:val="0"/>
          <w:numId w:val="2"/>
        </w:numPr>
        <w:tabs>
          <w:tab w:val="left" w:pos="932"/>
          <w:tab w:val="left" w:pos="933"/>
        </w:tabs>
        <w:spacing w:before="0"/>
        <w:rPr>
          <w:sz w:val="20"/>
        </w:rPr>
      </w:pPr>
      <w:proofErr w:type="spellStart"/>
      <w:r>
        <w:rPr>
          <w:sz w:val="20"/>
        </w:rPr>
        <w:t>Følgegruppen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forebyggelse</w:t>
      </w:r>
      <w:proofErr w:type="spellEnd"/>
    </w:p>
    <w:p w14:paraId="3FC82574" w14:textId="77777777" w:rsidR="008D682A" w:rsidRDefault="00834658">
      <w:pPr>
        <w:pStyle w:val="Listeafsnit"/>
        <w:numPr>
          <w:ilvl w:val="0"/>
          <w:numId w:val="2"/>
        </w:numPr>
        <w:tabs>
          <w:tab w:val="left" w:pos="932"/>
          <w:tab w:val="left" w:pos="933"/>
        </w:tabs>
        <w:rPr>
          <w:sz w:val="20"/>
        </w:rPr>
      </w:pPr>
      <w:proofErr w:type="spellStart"/>
      <w:r>
        <w:rPr>
          <w:sz w:val="20"/>
        </w:rPr>
        <w:t>Følgegruppen</w:t>
      </w:r>
      <w:proofErr w:type="spellEnd"/>
      <w:r>
        <w:rPr>
          <w:sz w:val="20"/>
        </w:rPr>
        <w:t xml:space="preserve"> for</w:t>
      </w:r>
      <w:r w:rsidRPr="003445F1">
        <w:rPr>
          <w:sz w:val="20"/>
          <w:lang w:val="da-DK"/>
        </w:rPr>
        <w:t xml:space="preserve"> behandling og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pleje</w:t>
      </w:r>
      <w:proofErr w:type="spellEnd"/>
    </w:p>
    <w:p w14:paraId="7C51966C" w14:textId="77777777" w:rsidR="008D682A" w:rsidRDefault="00834658">
      <w:pPr>
        <w:pStyle w:val="Listeafsnit"/>
        <w:numPr>
          <w:ilvl w:val="0"/>
          <w:numId w:val="2"/>
        </w:numPr>
        <w:tabs>
          <w:tab w:val="left" w:pos="932"/>
          <w:tab w:val="left" w:pos="933"/>
        </w:tabs>
        <w:rPr>
          <w:sz w:val="20"/>
        </w:rPr>
      </w:pPr>
      <w:proofErr w:type="spellStart"/>
      <w:r>
        <w:rPr>
          <w:sz w:val="20"/>
        </w:rPr>
        <w:t>Følgegruppen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genoptræning</w:t>
      </w:r>
      <w:proofErr w:type="spellEnd"/>
      <w:r>
        <w:rPr>
          <w:sz w:val="20"/>
        </w:rPr>
        <w:t xml:space="preserve"> og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rehabilitering</w:t>
      </w:r>
      <w:proofErr w:type="spellEnd"/>
    </w:p>
    <w:p w14:paraId="6104B1C8" w14:textId="596EBB75" w:rsidR="008D682A" w:rsidRPr="00574490" w:rsidRDefault="00834658">
      <w:pPr>
        <w:pStyle w:val="Listeafsnit"/>
        <w:numPr>
          <w:ilvl w:val="0"/>
          <w:numId w:val="2"/>
        </w:numPr>
        <w:tabs>
          <w:tab w:val="left" w:pos="932"/>
          <w:tab w:val="left" w:pos="933"/>
        </w:tabs>
        <w:rPr>
          <w:sz w:val="20"/>
          <w:lang w:val="da-DK"/>
        </w:rPr>
      </w:pPr>
      <w:r w:rsidRPr="00574490">
        <w:rPr>
          <w:sz w:val="20"/>
          <w:lang w:val="da-DK"/>
        </w:rPr>
        <w:t>Følgegruppen for uddannelse og</w:t>
      </w:r>
      <w:r w:rsidRPr="00574490">
        <w:rPr>
          <w:spacing w:val="-1"/>
          <w:sz w:val="20"/>
          <w:lang w:val="da-DK"/>
        </w:rPr>
        <w:t xml:space="preserve"> </w:t>
      </w:r>
      <w:r w:rsidRPr="00574490">
        <w:rPr>
          <w:sz w:val="20"/>
          <w:lang w:val="da-DK"/>
        </w:rPr>
        <w:t>arbejde</w:t>
      </w:r>
      <w:r w:rsidR="00FF12E9" w:rsidRPr="00574490">
        <w:rPr>
          <w:sz w:val="20"/>
          <w:lang w:val="da-DK"/>
        </w:rPr>
        <w:br/>
      </w:r>
    </w:p>
    <w:p w14:paraId="0C252BF0" w14:textId="77777777" w:rsidR="00FF12E9" w:rsidRPr="00FF12E9" w:rsidRDefault="00FF12E9" w:rsidP="00FF12E9">
      <w:pPr>
        <w:pStyle w:val="Brdtekst"/>
        <w:spacing w:line="276" w:lineRule="auto"/>
        <w:ind w:left="213" w:right="215"/>
        <w:rPr>
          <w:lang w:val="da-DK"/>
        </w:rPr>
      </w:pPr>
      <w:r>
        <w:rPr>
          <w:lang w:val="da-DK"/>
        </w:rPr>
        <w:t xml:space="preserve">Desuden har Det Administrative Kontaktforum besluttet, at der nedsættes tre </w:t>
      </w:r>
      <w:r w:rsidRPr="00FF12E9">
        <w:rPr>
          <w:lang w:val="da-DK"/>
        </w:rPr>
        <w:t>stående, tværgående kompetencegrupper vedrørende:</w:t>
      </w:r>
    </w:p>
    <w:p w14:paraId="09134758" w14:textId="77777777" w:rsidR="00FF12E9" w:rsidRDefault="00FF12E9" w:rsidP="00FF12E9">
      <w:pPr>
        <w:pStyle w:val="Brdtekst"/>
        <w:spacing w:before="1"/>
        <w:ind w:right="282"/>
        <w:rPr>
          <w:rFonts w:eastAsia="Times New Roman" w:cstheme="minorHAnsi"/>
          <w:color w:val="000000"/>
          <w:lang w:val="da-DK" w:eastAsia="da-DK"/>
        </w:rPr>
      </w:pPr>
    </w:p>
    <w:p w14:paraId="20AB12BE" w14:textId="3891841C" w:rsidR="00197FE4" w:rsidRDefault="00571AFC" w:rsidP="00315680">
      <w:pPr>
        <w:pStyle w:val="Brdtekst"/>
        <w:numPr>
          <w:ilvl w:val="0"/>
          <w:numId w:val="4"/>
        </w:numPr>
        <w:spacing w:before="1"/>
        <w:ind w:left="993" w:right="282" w:hanging="426"/>
        <w:rPr>
          <w:rFonts w:cstheme="minorHAnsi"/>
          <w:lang w:val="da-DK"/>
        </w:rPr>
      </w:pPr>
      <w:r>
        <w:rPr>
          <w:rFonts w:cstheme="minorHAnsi"/>
          <w:lang w:val="da-DK"/>
        </w:rPr>
        <w:t>Monitorering</w:t>
      </w:r>
    </w:p>
    <w:p w14:paraId="787CC40B" w14:textId="1724E363" w:rsidR="00197FE4" w:rsidRPr="00B81613" w:rsidRDefault="00197FE4" w:rsidP="00315680">
      <w:pPr>
        <w:pStyle w:val="Brdtekst"/>
        <w:numPr>
          <w:ilvl w:val="0"/>
          <w:numId w:val="4"/>
        </w:numPr>
        <w:spacing w:before="1"/>
        <w:ind w:left="993" w:right="282" w:hanging="426"/>
        <w:rPr>
          <w:rFonts w:cstheme="minorHAnsi"/>
          <w:lang w:val="da-DK"/>
        </w:rPr>
      </w:pPr>
      <w:r>
        <w:rPr>
          <w:rFonts w:cstheme="minorHAnsi"/>
          <w:lang w:val="da-DK"/>
        </w:rPr>
        <w:t>O</w:t>
      </w:r>
      <w:r w:rsidR="00FF12E9" w:rsidRPr="00B81613">
        <w:rPr>
          <w:rFonts w:cstheme="minorHAnsi"/>
          <w:lang w:val="da-DK"/>
        </w:rPr>
        <w:t>pgaveoverdragelse</w:t>
      </w:r>
    </w:p>
    <w:p w14:paraId="6579E549" w14:textId="6600678D" w:rsidR="00FF12E9" w:rsidRPr="00B81613" w:rsidRDefault="00197FE4" w:rsidP="00315680">
      <w:pPr>
        <w:pStyle w:val="Brdtekst"/>
        <w:numPr>
          <w:ilvl w:val="0"/>
          <w:numId w:val="4"/>
        </w:numPr>
        <w:spacing w:before="1"/>
        <w:ind w:left="993" w:right="282" w:hanging="426"/>
        <w:rPr>
          <w:rFonts w:cstheme="minorHAnsi"/>
          <w:lang w:val="da-DK"/>
        </w:rPr>
      </w:pPr>
      <w:r>
        <w:rPr>
          <w:rFonts w:cstheme="minorHAnsi"/>
          <w:lang w:val="da-DK"/>
        </w:rPr>
        <w:t>S</w:t>
      </w:r>
      <w:r w:rsidR="00FF12E9" w:rsidRPr="00B81613">
        <w:rPr>
          <w:rFonts w:cstheme="minorHAnsi"/>
          <w:lang w:val="da-DK"/>
        </w:rPr>
        <w:t>undhedsteknologi</w:t>
      </w:r>
      <w:r w:rsidR="007C6F47" w:rsidRPr="00B81613">
        <w:rPr>
          <w:rFonts w:cstheme="minorHAnsi"/>
          <w:lang w:val="da-DK"/>
        </w:rPr>
        <w:t xml:space="preserve"> (velfærdsteknologi og telemedicin)</w:t>
      </w:r>
    </w:p>
    <w:p w14:paraId="105E1523" w14:textId="77777777" w:rsidR="00FF12E9" w:rsidRPr="00FF12E9" w:rsidRDefault="00FF12E9" w:rsidP="00FF12E9">
      <w:pPr>
        <w:tabs>
          <w:tab w:val="left" w:pos="932"/>
          <w:tab w:val="left" w:pos="933"/>
        </w:tabs>
        <w:rPr>
          <w:sz w:val="20"/>
        </w:rPr>
      </w:pPr>
    </w:p>
    <w:p w14:paraId="045D9D9C" w14:textId="77777777" w:rsidR="008D682A" w:rsidRDefault="008D682A">
      <w:pPr>
        <w:pStyle w:val="Brdtekst"/>
        <w:spacing w:before="8"/>
        <w:rPr>
          <w:sz w:val="22"/>
        </w:rPr>
      </w:pPr>
    </w:p>
    <w:p w14:paraId="16741E80" w14:textId="77777777" w:rsidR="008D682A" w:rsidRPr="00247766" w:rsidRDefault="003143F6" w:rsidP="00247766">
      <w:pPr>
        <w:pStyle w:val="Overskrift1"/>
        <w:rPr>
          <w:lang w:val="da-DK"/>
        </w:rPr>
      </w:pPr>
      <w:r w:rsidRPr="003143F6">
        <w:rPr>
          <w:lang w:val="da-DK"/>
        </w:rPr>
        <w:t>Kompetencegrupperne</w:t>
      </w:r>
      <w:r w:rsidR="00834658" w:rsidRPr="003143F6">
        <w:rPr>
          <w:lang w:val="da-DK"/>
        </w:rPr>
        <w:t>s formål</w:t>
      </w:r>
      <w:r w:rsidR="001468B5">
        <w:rPr>
          <w:lang w:val="da-DK"/>
        </w:rPr>
        <w:t xml:space="preserve"> og ansvarsområder</w:t>
      </w:r>
    </w:p>
    <w:p w14:paraId="7FC2CA25" w14:textId="3E8D3C28" w:rsidR="00817965" w:rsidRDefault="00247766" w:rsidP="00247766">
      <w:pPr>
        <w:pStyle w:val="Brdtekst"/>
        <w:spacing w:before="125"/>
        <w:ind w:left="213"/>
        <w:rPr>
          <w:lang w:val="da-DK"/>
        </w:rPr>
      </w:pPr>
      <w:r>
        <w:rPr>
          <w:lang w:val="da-DK"/>
        </w:rPr>
        <w:t>De tre stående</w:t>
      </w:r>
      <w:r w:rsidR="0046117D">
        <w:rPr>
          <w:lang w:val="da-DK"/>
        </w:rPr>
        <w:t>,</w:t>
      </w:r>
      <w:r>
        <w:rPr>
          <w:lang w:val="da-DK"/>
        </w:rPr>
        <w:t xml:space="preserve"> tværgående kompetencegrupper har til formål a</w:t>
      </w:r>
      <w:r w:rsidRPr="00E7278C">
        <w:rPr>
          <w:lang w:val="da-DK"/>
        </w:rPr>
        <w:t xml:space="preserve">t understøtte </w:t>
      </w:r>
      <w:r w:rsidR="00197FE4">
        <w:rPr>
          <w:lang w:val="da-DK"/>
        </w:rPr>
        <w:t>f</w:t>
      </w:r>
      <w:r>
        <w:rPr>
          <w:lang w:val="da-DK"/>
        </w:rPr>
        <w:t xml:space="preserve">ølgegruppernes og </w:t>
      </w:r>
      <w:r w:rsidRPr="00E7278C">
        <w:rPr>
          <w:lang w:val="da-DK"/>
        </w:rPr>
        <w:t>Det Administrative Kontaktforums</w:t>
      </w:r>
      <w:r w:rsidRPr="00247766">
        <w:rPr>
          <w:lang w:val="da-DK"/>
        </w:rPr>
        <w:t xml:space="preserve"> </w:t>
      </w:r>
      <w:r w:rsidR="00817965">
        <w:rPr>
          <w:lang w:val="da-DK"/>
        </w:rPr>
        <w:t xml:space="preserve">arbejde i forhold til </w:t>
      </w:r>
      <w:r w:rsidRPr="00744A0C">
        <w:rPr>
          <w:lang w:val="da-DK"/>
        </w:rPr>
        <w:t>at udmønte Sundhedsaftalen</w:t>
      </w:r>
      <w:r>
        <w:rPr>
          <w:lang w:val="da-DK"/>
        </w:rPr>
        <w:t xml:space="preserve">s politiske vision og indfri de </w:t>
      </w:r>
      <w:r w:rsidRPr="00744A0C">
        <w:rPr>
          <w:lang w:val="da-DK"/>
        </w:rPr>
        <w:t>tre politiske målsætninger</w:t>
      </w:r>
      <w:r>
        <w:rPr>
          <w:lang w:val="da-DK"/>
        </w:rPr>
        <w:t xml:space="preserve">. </w:t>
      </w:r>
    </w:p>
    <w:p w14:paraId="6ED1EFBD" w14:textId="187DDF43" w:rsidR="00197FE4" w:rsidRDefault="00CD7AA2" w:rsidP="00197FE4">
      <w:pPr>
        <w:pStyle w:val="Brdtekst"/>
        <w:spacing w:before="125"/>
        <w:ind w:left="213"/>
        <w:rPr>
          <w:lang w:val="da-DK"/>
        </w:rPr>
      </w:pPr>
      <w:r>
        <w:rPr>
          <w:lang w:val="da-DK"/>
        </w:rPr>
        <w:t>Der er</w:t>
      </w:r>
      <w:r w:rsidR="00247766">
        <w:rPr>
          <w:lang w:val="da-DK"/>
        </w:rPr>
        <w:t xml:space="preserve"> nedsat fire følgegrupper, som alle har en stor opgaveportefølje</w:t>
      </w:r>
      <w:r w:rsidR="00B757AC">
        <w:rPr>
          <w:lang w:val="da-DK"/>
        </w:rPr>
        <w:t xml:space="preserve">. Derfor </w:t>
      </w:r>
      <w:r w:rsidR="00247766">
        <w:rPr>
          <w:lang w:val="da-DK"/>
        </w:rPr>
        <w:t>er det nødvendigt</w:t>
      </w:r>
      <w:r w:rsidR="00B757AC">
        <w:rPr>
          <w:lang w:val="da-DK"/>
        </w:rPr>
        <w:t>,</w:t>
      </w:r>
      <w:r w:rsidR="00247766">
        <w:rPr>
          <w:lang w:val="da-DK"/>
        </w:rPr>
        <w:t xml:space="preserve"> at følgegrupperne understøttes af </w:t>
      </w:r>
      <w:r w:rsidR="007C6F47">
        <w:rPr>
          <w:lang w:val="da-DK"/>
        </w:rPr>
        <w:t>kompetencegrupper, som har særlige kompetencer inden</w:t>
      </w:r>
      <w:r w:rsidR="00197FE4">
        <w:rPr>
          <w:lang w:val="da-DK"/>
        </w:rPr>
        <w:t xml:space="preserve"> </w:t>
      </w:r>
      <w:r w:rsidR="007C6F47">
        <w:rPr>
          <w:lang w:val="da-DK"/>
        </w:rPr>
        <w:t xml:space="preserve">for </w:t>
      </w:r>
      <w:proofErr w:type="gramStart"/>
      <w:r w:rsidR="007C6F47">
        <w:rPr>
          <w:lang w:val="da-DK"/>
        </w:rPr>
        <w:t>henholdsvis  monitorering</w:t>
      </w:r>
      <w:proofErr w:type="gramEnd"/>
      <w:r w:rsidR="0046117D">
        <w:rPr>
          <w:lang w:val="da-DK"/>
        </w:rPr>
        <w:t>,</w:t>
      </w:r>
      <w:r w:rsidR="007C6F47">
        <w:rPr>
          <w:lang w:val="da-DK"/>
        </w:rPr>
        <w:t xml:space="preserve"> opgaveoverdragelse</w:t>
      </w:r>
      <w:r w:rsidR="0046117D">
        <w:rPr>
          <w:lang w:val="da-DK"/>
        </w:rPr>
        <w:t xml:space="preserve"> og sundhedsteknologi</w:t>
      </w:r>
      <w:r w:rsidR="007C6F47">
        <w:rPr>
          <w:lang w:val="da-DK"/>
        </w:rPr>
        <w:t xml:space="preserve">. </w:t>
      </w:r>
      <w:r w:rsidR="00EC42A6">
        <w:rPr>
          <w:lang w:val="da-DK"/>
        </w:rPr>
        <w:br/>
      </w:r>
      <w:r w:rsidR="00EC42A6">
        <w:rPr>
          <w:lang w:val="da-DK"/>
        </w:rPr>
        <w:br/>
        <w:t xml:space="preserve">Formålet med organiseringen af </w:t>
      </w:r>
      <w:r w:rsidR="00197FE4">
        <w:rPr>
          <w:lang w:val="da-DK"/>
        </w:rPr>
        <w:t xml:space="preserve">de </w:t>
      </w:r>
      <w:r w:rsidR="00EC42A6">
        <w:rPr>
          <w:lang w:val="da-DK"/>
        </w:rPr>
        <w:t>tre kompetencegrupper på tværs af følgegrupperne er tillige at sikre synergi i arbejdet med de tre områder</w:t>
      </w:r>
      <w:r w:rsidR="00DE4F26">
        <w:rPr>
          <w:lang w:val="da-DK"/>
        </w:rPr>
        <w:t>. Dette sker ved, at kompetencegrupperne sikrer en koordinering</w:t>
      </w:r>
      <w:r w:rsidR="00197FE4">
        <w:rPr>
          <w:lang w:val="da-DK"/>
        </w:rPr>
        <w:t xml:space="preserve"> af opgaveløsningen inden for hvert område på tværs af de fire følgegrupper</w:t>
      </w:r>
      <w:r w:rsidR="00DE4F26">
        <w:rPr>
          <w:lang w:val="da-DK"/>
        </w:rPr>
        <w:t>.</w:t>
      </w:r>
    </w:p>
    <w:p w14:paraId="06E72112" w14:textId="247375EE" w:rsidR="00FF105F" w:rsidRDefault="00BC166C" w:rsidP="00B81613">
      <w:pPr>
        <w:pStyle w:val="Brdtekst"/>
        <w:spacing w:before="125"/>
        <w:ind w:left="213"/>
        <w:rPr>
          <w:lang w:val="da-DK"/>
        </w:rPr>
      </w:pPr>
      <w:r>
        <w:rPr>
          <w:lang w:val="da-DK"/>
        </w:rPr>
        <w:br/>
        <w:t xml:space="preserve">Endelig har de enkelte kompetencegrupper følgende </w:t>
      </w:r>
      <w:r w:rsidR="005D7B5E">
        <w:rPr>
          <w:lang w:val="da-DK"/>
        </w:rPr>
        <w:t>ansvarsområder</w:t>
      </w:r>
      <w:r>
        <w:rPr>
          <w:lang w:val="da-DK"/>
        </w:rPr>
        <w:t>:</w:t>
      </w:r>
      <w:r>
        <w:rPr>
          <w:lang w:val="da-DK"/>
        </w:rPr>
        <w:br/>
      </w:r>
      <w:r>
        <w:rPr>
          <w:lang w:val="da-DK"/>
        </w:rPr>
        <w:br/>
      </w:r>
      <w:r>
        <w:rPr>
          <w:lang w:val="da-DK"/>
        </w:rPr>
        <w:br/>
      </w:r>
      <w:r w:rsidRPr="00BC166C">
        <w:rPr>
          <w:b/>
          <w:lang w:val="da-DK"/>
        </w:rPr>
        <w:t>Kompetencegruppen for</w:t>
      </w:r>
      <w:r>
        <w:rPr>
          <w:b/>
          <w:lang w:val="da-DK"/>
        </w:rPr>
        <w:t xml:space="preserve"> monitorering </w:t>
      </w:r>
      <w:r>
        <w:rPr>
          <w:lang w:val="da-DK"/>
        </w:rPr>
        <w:t>skal sikre en formålstjenlig monitorering og evaluering af de indsatser, som vurderes af særlig relevans i forhold til følgegruppernes opgaver.</w:t>
      </w:r>
      <w:r w:rsidR="00421723">
        <w:rPr>
          <w:lang w:val="da-DK"/>
        </w:rPr>
        <w:t xml:space="preserve"> </w:t>
      </w:r>
      <w:r w:rsidR="005D7B5E">
        <w:rPr>
          <w:lang w:val="da-DK"/>
        </w:rPr>
        <w:t xml:space="preserve">Ved igangsættelse af nye indsatser skal </w:t>
      </w:r>
      <w:r w:rsidR="005D7B5E" w:rsidRPr="00BC166C">
        <w:rPr>
          <w:lang w:val="da-DK"/>
        </w:rPr>
        <w:t>Kompetencegruppen for monitorering</w:t>
      </w:r>
      <w:r w:rsidR="005D7B5E">
        <w:rPr>
          <w:lang w:val="da-DK"/>
        </w:rPr>
        <w:t xml:space="preserve"> beskrive</w:t>
      </w:r>
      <w:r w:rsidR="00E40AE1">
        <w:rPr>
          <w:lang w:val="da-DK"/>
        </w:rPr>
        <w:t>,</w:t>
      </w:r>
      <w:r w:rsidR="005D7B5E">
        <w:rPr>
          <w:lang w:val="da-DK"/>
        </w:rPr>
        <w:t xml:space="preserve"> i hvilket omfang der skal monitoreres</w:t>
      </w:r>
      <w:r w:rsidR="00D933B3">
        <w:rPr>
          <w:lang w:val="da-DK"/>
        </w:rPr>
        <w:t>,</w:t>
      </w:r>
      <w:r w:rsidR="005D7B5E">
        <w:rPr>
          <w:lang w:val="da-DK"/>
        </w:rPr>
        <w:t xml:space="preserve"> og samtidig foretage en vurdering af det forventede ressourcetræk, som en eventuel monitorering og evaluering vil kræve.</w:t>
      </w:r>
    </w:p>
    <w:p w14:paraId="6BEC694E" w14:textId="72F0F1DC" w:rsidR="00247766" w:rsidRPr="00744A0C" w:rsidRDefault="00FF105F" w:rsidP="00247766">
      <w:pPr>
        <w:pStyle w:val="Brdtekst"/>
        <w:spacing w:before="125"/>
        <w:ind w:left="213"/>
        <w:rPr>
          <w:lang w:val="da-DK"/>
        </w:rPr>
      </w:pPr>
      <w:r w:rsidRPr="00BC166C">
        <w:rPr>
          <w:b/>
          <w:lang w:val="da-DK"/>
        </w:rPr>
        <w:t>Kompetencegruppen for</w:t>
      </w:r>
      <w:r>
        <w:rPr>
          <w:b/>
          <w:lang w:val="da-DK"/>
        </w:rPr>
        <w:t xml:space="preserve"> opgaveoverdragelse </w:t>
      </w:r>
      <w:r>
        <w:rPr>
          <w:lang w:val="da-DK"/>
        </w:rPr>
        <w:t>skal</w:t>
      </w:r>
      <w:r w:rsidR="006045FC">
        <w:rPr>
          <w:lang w:val="da-DK"/>
        </w:rPr>
        <w:t xml:space="preserve"> løbende arbejde for at sikre og videreudvikle modellen for aftalt og planlagt opgaveoverdragelse.</w:t>
      </w:r>
      <w:r w:rsidR="00DE4F26">
        <w:rPr>
          <w:lang w:val="da-DK"/>
        </w:rPr>
        <w:t xml:space="preserve"> Samtidig skal de</w:t>
      </w:r>
      <w:r w:rsidR="0046117D">
        <w:rPr>
          <w:lang w:val="da-DK"/>
        </w:rPr>
        <w:t>n</w:t>
      </w:r>
      <w:r w:rsidR="00DE4F26">
        <w:rPr>
          <w:lang w:val="da-DK"/>
        </w:rPr>
        <w:t xml:space="preserve"> sikre, at aftalen anvendes i de tilfælde, hvor der er tale om opgaveoverdragelse, f.eks. i forbindelse med aftaler og forløbsprogrammer. Kompetencegruppen for opgaveoverdragelse har endvidere til opgave at sikre, at aftalen er tidssvarende og anvendes korrekt.</w:t>
      </w:r>
      <w:r w:rsidR="00EC42A6">
        <w:rPr>
          <w:lang w:val="da-DK"/>
        </w:rPr>
        <w:br/>
      </w:r>
      <w:r w:rsidR="0046117D">
        <w:rPr>
          <w:lang w:val="da-DK"/>
        </w:rPr>
        <w:br/>
      </w:r>
      <w:r w:rsidR="0046117D" w:rsidRPr="00BC166C">
        <w:rPr>
          <w:b/>
          <w:lang w:val="da-DK"/>
        </w:rPr>
        <w:lastRenderedPageBreak/>
        <w:t>Kompetencegruppen for sundhedsteknologi</w:t>
      </w:r>
      <w:r w:rsidR="0046117D">
        <w:rPr>
          <w:lang w:val="da-DK"/>
        </w:rPr>
        <w:t xml:space="preserve"> skal medtænke og understøtte integrationen af sundhedsteknologi og digitalisering i forhold til følgegruppernes konkrete opgaveløsninger. Kompetencegruppen for sundhedsteknologi skal således medvirke til, at Syddanmark bevarer sin styrkeposition i forhold til anvendelsen af sundhedsteknologi, digitale løsninger og telemedicin.</w:t>
      </w:r>
    </w:p>
    <w:p w14:paraId="6790D742" w14:textId="77777777" w:rsidR="008D682A" w:rsidRPr="00744A0C" w:rsidRDefault="008D682A" w:rsidP="00247766">
      <w:pPr>
        <w:pStyle w:val="Brdtekst"/>
        <w:spacing w:before="43"/>
        <w:ind w:left="100"/>
        <w:rPr>
          <w:lang w:val="da-DK"/>
        </w:rPr>
      </w:pPr>
    </w:p>
    <w:p w14:paraId="3A9EFDFB" w14:textId="77777777" w:rsidR="008D682A" w:rsidRPr="00744A0C" w:rsidRDefault="008D682A">
      <w:pPr>
        <w:pStyle w:val="Brdtekst"/>
        <w:spacing w:before="2"/>
        <w:rPr>
          <w:lang w:val="da-DK"/>
        </w:rPr>
      </w:pPr>
    </w:p>
    <w:p w14:paraId="00825B75" w14:textId="77777777" w:rsidR="008D682A" w:rsidRPr="00744A0C" w:rsidRDefault="00DE6476">
      <w:pPr>
        <w:pStyle w:val="Overskrift1"/>
        <w:rPr>
          <w:lang w:val="da-DK"/>
        </w:rPr>
      </w:pPr>
      <w:r>
        <w:rPr>
          <w:lang w:val="da-DK"/>
        </w:rPr>
        <w:t>Kompetencegrupperne</w:t>
      </w:r>
      <w:r w:rsidR="00834658" w:rsidRPr="00744A0C">
        <w:rPr>
          <w:lang w:val="da-DK"/>
        </w:rPr>
        <w:t>s opgaver</w:t>
      </w:r>
    </w:p>
    <w:p w14:paraId="23FB3FBE" w14:textId="207B7ADC" w:rsidR="00B648B7" w:rsidRDefault="00DE6476" w:rsidP="00FC1340">
      <w:pPr>
        <w:pStyle w:val="Brdtekst"/>
        <w:spacing w:before="125"/>
        <w:ind w:left="213"/>
        <w:rPr>
          <w:lang w:val="da-DK"/>
        </w:rPr>
      </w:pPr>
      <w:r>
        <w:rPr>
          <w:lang w:val="da-DK"/>
        </w:rPr>
        <w:t>Kompetencegrupperne har ingen faste opgaver</w:t>
      </w:r>
      <w:r w:rsidR="00D933B3">
        <w:rPr>
          <w:lang w:val="da-DK"/>
        </w:rPr>
        <w:t>, men</w:t>
      </w:r>
      <w:r>
        <w:rPr>
          <w:lang w:val="da-DK"/>
        </w:rPr>
        <w:t xml:space="preserve"> inddrages ad hoc, når følgegrupperne </w:t>
      </w:r>
      <w:r w:rsidR="001468B5">
        <w:rPr>
          <w:lang w:val="da-DK"/>
        </w:rPr>
        <w:t xml:space="preserve">eller Det Administrative Kontaktforum </w:t>
      </w:r>
      <w:r>
        <w:rPr>
          <w:lang w:val="da-DK"/>
        </w:rPr>
        <w:t xml:space="preserve">skal have belyst eller afdækket </w:t>
      </w:r>
      <w:r w:rsidR="00775FC8">
        <w:rPr>
          <w:lang w:val="da-DK"/>
        </w:rPr>
        <w:t>viden</w:t>
      </w:r>
      <w:r>
        <w:rPr>
          <w:lang w:val="da-DK"/>
        </w:rPr>
        <w:t xml:space="preserve"> inden</w:t>
      </w:r>
      <w:r w:rsidR="00D933B3">
        <w:rPr>
          <w:lang w:val="da-DK"/>
        </w:rPr>
        <w:t xml:space="preserve"> </w:t>
      </w:r>
      <w:r>
        <w:rPr>
          <w:lang w:val="da-DK"/>
        </w:rPr>
        <w:t>for de tre områder: monitorering, opgaveoverdragelse og sundhedsteknologi.</w:t>
      </w:r>
      <w:r w:rsidR="00FC1340">
        <w:rPr>
          <w:lang w:val="da-DK"/>
        </w:rPr>
        <w:t xml:space="preserve"> Tovholderne for kompetencegrupperne skal løbende sparre med følgegrupperne</w:t>
      </w:r>
      <w:r w:rsidR="00E27915">
        <w:rPr>
          <w:lang w:val="da-DK"/>
        </w:rPr>
        <w:t xml:space="preserve"> og Det Administrative Kontaktforum</w:t>
      </w:r>
      <w:r w:rsidR="00FC1340">
        <w:rPr>
          <w:lang w:val="da-DK"/>
        </w:rPr>
        <w:t xml:space="preserve"> om løsning af opgaver i relation til kompetencegruppens område.</w:t>
      </w:r>
      <w:r w:rsidR="00120CCB">
        <w:rPr>
          <w:lang w:val="da-DK"/>
        </w:rPr>
        <w:br/>
      </w:r>
      <w:r w:rsidR="00120CCB">
        <w:rPr>
          <w:lang w:val="da-DK"/>
        </w:rPr>
        <w:br/>
      </w:r>
      <w:r w:rsidR="00120CCB" w:rsidRPr="00120CCB">
        <w:rPr>
          <w:lang w:val="da-DK"/>
        </w:rPr>
        <w:t>Følgegrupperne har ansvaret for at inddrage kompetencegrupperne, når det er relevant, ligesom følgegrupperne har ansvaret for</w:t>
      </w:r>
      <w:r w:rsidR="0046117D">
        <w:rPr>
          <w:lang w:val="da-DK"/>
        </w:rPr>
        <w:t>,</w:t>
      </w:r>
      <w:r w:rsidR="00120CCB" w:rsidRPr="00120CCB">
        <w:rPr>
          <w:lang w:val="da-DK"/>
        </w:rPr>
        <w:t xml:space="preserve"> a</w:t>
      </w:r>
      <w:r w:rsidR="00120CCB">
        <w:rPr>
          <w:lang w:val="da-DK"/>
        </w:rPr>
        <w:t xml:space="preserve">t opgaverne løses i </w:t>
      </w:r>
      <w:r w:rsidR="00120CCB" w:rsidRPr="00120CCB">
        <w:rPr>
          <w:lang w:val="da-DK"/>
        </w:rPr>
        <w:t>sama</w:t>
      </w:r>
      <w:r w:rsidR="00120CCB">
        <w:rPr>
          <w:lang w:val="da-DK"/>
        </w:rPr>
        <w:t>rbejde</w:t>
      </w:r>
      <w:r w:rsidR="004F73D0">
        <w:rPr>
          <w:lang w:val="da-DK"/>
        </w:rPr>
        <w:t xml:space="preserve"> mellem følgegruppe</w:t>
      </w:r>
      <w:r w:rsidR="00120CCB">
        <w:rPr>
          <w:lang w:val="da-DK"/>
        </w:rPr>
        <w:t xml:space="preserve"> og</w:t>
      </w:r>
      <w:r w:rsidR="004F73D0">
        <w:rPr>
          <w:lang w:val="da-DK"/>
        </w:rPr>
        <w:t xml:space="preserve"> kompetencegruppe</w:t>
      </w:r>
      <w:r w:rsidR="00120CCB" w:rsidRPr="00120CCB">
        <w:rPr>
          <w:lang w:val="da-DK"/>
        </w:rPr>
        <w:t>.</w:t>
      </w:r>
      <w:r w:rsidR="00B81613">
        <w:rPr>
          <w:lang w:val="da-DK"/>
        </w:rPr>
        <w:t xml:space="preserve"> </w:t>
      </w:r>
      <w:r w:rsidR="00D300D3">
        <w:rPr>
          <w:lang w:val="da-DK"/>
        </w:rPr>
        <w:t>Kompetencegrupperne kan også modtage opgaver direkte fra Det Administrative Kontaktforum</w:t>
      </w:r>
      <w:r w:rsidR="00FC1340">
        <w:rPr>
          <w:lang w:val="da-DK"/>
        </w:rPr>
        <w:t>.</w:t>
      </w:r>
      <w:r w:rsidR="003445F1">
        <w:rPr>
          <w:lang w:val="da-DK"/>
        </w:rPr>
        <w:br/>
      </w:r>
      <w:r w:rsidR="00DB3EBA">
        <w:rPr>
          <w:lang w:val="da-DK"/>
        </w:rPr>
        <w:br/>
      </w:r>
      <w:r w:rsidR="00B648B7">
        <w:rPr>
          <w:lang w:val="da-DK"/>
        </w:rPr>
        <w:t xml:space="preserve">Kompetencegruppernes </w:t>
      </w:r>
      <w:r w:rsidR="00D300D3">
        <w:rPr>
          <w:lang w:val="da-DK"/>
        </w:rPr>
        <w:t xml:space="preserve">tovholdere </w:t>
      </w:r>
      <w:r w:rsidR="00B648B7">
        <w:rPr>
          <w:lang w:val="da-DK"/>
        </w:rPr>
        <w:t>deltager</w:t>
      </w:r>
      <w:r w:rsidR="006D095F">
        <w:rPr>
          <w:lang w:val="da-DK"/>
        </w:rPr>
        <w:t xml:space="preserve"> i </w:t>
      </w:r>
      <w:r w:rsidR="00F72E8D">
        <w:rPr>
          <w:lang w:val="da-DK"/>
        </w:rPr>
        <w:t>det koordinerende møde med følgegruppesekretærerne</w:t>
      </w:r>
      <w:r w:rsidR="006D095F">
        <w:rPr>
          <w:lang w:val="da-DK"/>
        </w:rPr>
        <w:t>,</w:t>
      </w:r>
      <w:r w:rsidR="00F72E8D">
        <w:rPr>
          <w:lang w:val="da-DK"/>
        </w:rPr>
        <w:t xml:space="preserve"> de lokale samordningsfora og koordinationsgruppen,</w:t>
      </w:r>
      <w:r w:rsidR="006D095F">
        <w:rPr>
          <w:lang w:val="da-DK"/>
        </w:rPr>
        <w:t xml:space="preserve"> der afholdes efter hvert møde i Det Administrative Kontaktforum.</w:t>
      </w:r>
    </w:p>
    <w:p w14:paraId="02E4E0B8" w14:textId="7916EC92" w:rsidR="00DF1357" w:rsidRPr="00CC3A83" w:rsidRDefault="00DF1357" w:rsidP="00DF1357">
      <w:pPr>
        <w:pStyle w:val="Overskrift1"/>
        <w:rPr>
          <w:lang w:val="da-DK"/>
        </w:rPr>
      </w:pPr>
      <w:r>
        <w:rPr>
          <w:b w:val="0"/>
          <w:bCs w:val="0"/>
          <w:sz w:val="20"/>
          <w:szCs w:val="20"/>
          <w:lang w:val="da-DK"/>
        </w:rPr>
        <w:br/>
      </w:r>
      <w:r w:rsidR="004F73D0" w:rsidRPr="00DF1357">
        <w:rPr>
          <w:b w:val="0"/>
          <w:bCs w:val="0"/>
          <w:sz w:val="20"/>
          <w:szCs w:val="20"/>
          <w:lang w:val="da-DK"/>
        </w:rPr>
        <w:t>K</w:t>
      </w:r>
      <w:r w:rsidR="00775FC8" w:rsidRPr="00DF1357">
        <w:rPr>
          <w:b w:val="0"/>
          <w:bCs w:val="0"/>
          <w:sz w:val="20"/>
          <w:szCs w:val="20"/>
          <w:lang w:val="da-DK"/>
        </w:rPr>
        <w:t xml:space="preserve">ompetencegrupperne </w:t>
      </w:r>
      <w:r w:rsidR="004F73D0" w:rsidRPr="00DF1357">
        <w:rPr>
          <w:b w:val="0"/>
          <w:bCs w:val="0"/>
          <w:sz w:val="20"/>
          <w:szCs w:val="20"/>
          <w:lang w:val="da-DK"/>
        </w:rPr>
        <w:t xml:space="preserve">har </w:t>
      </w:r>
      <w:r w:rsidR="00775FC8" w:rsidRPr="00DF1357">
        <w:rPr>
          <w:b w:val="0"/>
          <w:bCs w:val="0"/>
          <w:sz w:val="20"/>
          <w:szCs w:val="20"/>
          <w:lang w:val="da-DK"/>
        </w:rPr>
        <w:t>ansvaret for at varetage planlægning, udførelse og evaluering af opgaver inden</w:t>
      </w:r>
      <w:r w:rsidR="00D933B3" w:rsidRPr="00DF1357">
        <w:rPr>
          <w:b w:val="0"/>
          <w:bCs w:val="0"/>
          <w:sz w:val="20"/>
          <w:szCs w:val="20"/>
          <w:lang w:val="da-DK"/>
        </w:rPr>
        <w:t xml:space="preserve"> </w:t>
      </w:r>
      <w:r w:rsidR="00775FC8" w:rsidRPr="00DF1357">
        <w:rPr>
          <w:b w:val="0"/>
          <w:bCs w:val="0"/>
          <w:sz w:val="20"/>
          <w:szCs w:val="20"/>
          <w:lang w:val="da-DK"/>
        </w:rPr>
        <w:t>for henholdsvis monitorering, opgaveoverdragelse og sundhedsteknologi.</w:t>
      </w:r>
      <w:r>
        <w:rPr>
          <w:b w:val="0"/>
          <w:bCs w:val="0"/>
          <w:sz w:val="20"/>
          <w:szCs w:val="20"/>
          <w:lang w:val="da-DK"/>
        </w:rPr>
        <w:br/>
      </w:r>
      <w:r>
        <w:rPr>
          <w:lang w:val="da-DK"/>
        </w:rPr>
        <w:br/>
      </w:r>
      <w:r>
        <w:rPr>
          <w:lang w:val="da-DK"/>
        </w:rPr>
        <w:br/>
      </w:r>
      <w:r w:rsidRPr="00CC3A83">
        <w:rPr>
          <w:lang w:val="da-DK"/>
        </w:rPr>
        <w:t xml:space="preserve">Politiske virkemidler og bærende principper </w:t>
      </w:r>
    </w:p>
    <w:p w14:paraId="218DB409" w14:textId="77777777" w:rsidR="00DF1357" w:rsidRPr="00CC3A83" w:rsidRDefault="00DF1357" w:rsidP="00DF1357">
      <w:pPr>
        <w:pStyle w:val="Brdtekst"/>
        <w:spacing w:before="35"/>
        <w:ind w:left="213"/>
        <w:rPr>
          <w:lang w:val="da-DK"/>
        </w:rPr>
      </w:pPr>
      <w:r>
        <w:rPr>
          <w:lang w:val="da-DK"/>
        </w:rPr>
        <w:t xml:space="preserve">Kompetencegrupperne </w:t>
      </w:r>
      <w:r w:rsidRPr="00CC3A83">
        <w:rPr>
          <w:lang w:val="da-DK"/>
        </w:rPr>
        <w:t xml:space="preserve">skal i sin opgavevaretagelse sikre, at de tre politiske virkemidler, som er beskrevet i Sundhedsaftalen 2019-2023, sættes i spil: </w:t>
      </w:r>
    </w:p>
    <w:p w14:paraId="544071CC" w14:textId="77777777" w:rsidR="00DF1357" w:rsidRPr="00CC3A83" w:rsidRDefault="00DF1357" w:rsidP="00DF1357">
      <w:pPr>
        <w:pStyle w:val="Brdtekst"/>
        <w:spacing w:before="35"/>
        <w:ind w:left="213"/>
        <w:rPr>
          <w:lang w:val="da-DK"/>
        </w:rPr>
      </w:pPr>
    </w:p>
    <w:p w14:paraId="475A7640" w14:textId="77777777" w:rsidR="00DF1357" w:rsidRPr="00CC3A83" w:rsidRDefault="00DF1357" w:rsidP="00DF1357">
      <w:pPr>
        <w:pStyle w:val="Brdtekst"/>
        <w:numPr>
          <w:ilvl w:val="0"/>
          <w:numId w:val="9"/>
        </w:numPr>
        <w:spacing w:before="35"/>
        <w:rPr>
          <w:lang w:val="da-DK"/>
        </w:rPr>
      </w:pPr>
      <w:r w:rsidRPr="00CC3A83">
        <w:rPr>
          <w:lang w:val="da-DK"/>
        </w:rPr>
        <w:t xml:space="preserve">Sæt borgeren først </w:t>
      </w:r>
    </w:p>
    <w:p w14:paraId="7477589A" w14:textId="77777777" w:rsidR="00DF1357" w:rsidRPr="00CC3A83" w:rsidRDefault="00DF1357" w:rsidP="00DF1357">
      <w:pPr>
        <w:pStyle w:val="Brdtekst"/>
        <w:numPr>
          <w:ilvl w:val="0"/>
          <w:numId w:val="9"/>
        </w:numPr>
        <w:spacing w:before="35"/>
        <w:rPr>
          <w:lang w:val="da-DK"/>
        </w:rPr>
      </w:pPr>
      <w:r w:rsidRPr="00CC3A83">
        <w:rPr>
          <w:lang w:val="da-DK"/>
        </w:rPr>
        <w:t xml:space="preserve">Tænk nyt – nye samarbejdsformer </w:t>
      </w:r>
    </w:p>
    <w:p w14:paraId="218F069B" w14:textId="77777777" w:rsidR="00DF1357" w:rsidRPr="00CC3A83" w:rsidRDefault="00DF1357" w:rsidP="00DF1357">
      <w:pPr>
        <w:pStyle w:val="Brdtekst"/>
        <w:numPr>
          <w:ilvl w:val="0"/>
          <w:numId w:val="9"/>
        </w:numPr>
        <w:spacing w:before="35"/>
        <w:rPr>
          <w:lang w:val="da-DK"/>
        </w:rPr>
      </w:pPr>
      <w:r w:rsidRPr="00CC3A83">
        <w:rPr>
          <w:lang w:val="da-DK"/>
        </w:rPr>
        <w:t xml:space="preserve">Mest mulig sundhed for pengene </w:t>
      </w:r>
    </w:p>
    <w:p w14:paraId="7430F6CC" w14:textId="77777777" w:rsidR="00D37CCA" w:rsidRDefault="00DF1357" w:rsidP="00DF1357">
      <w:pPr>
        <w:pStyle w:val="Brdtekst"/>
        <w:spacing w:before="35"/>
        <w:ind w:left="213"/>
        <w:rPr>
          <w:lang w:val="da-DK"/>
        </w:rPr>
      </w:pPr>
      <w:r>
        <w:rPr>
          <w:lang w:val="da-DK"/>
        </w:rPr>
        <w:br/>
      </w:r>
      <w:r w:rsidRPr="00CC3A83">
        <w:rPr>
          <w:lang w:val="da-DK"/>
        </w:rPr>
        <w:t xml:space="preserve">Endvidere skal </w:t>
      </w:r>
      <w:r>
        <w:rPr>
          <w:lang w:val="da-DK"/>
        </w:rPr>
        <w:t>kompetencegruppernes</w:t>
      </w:r>
      <w:r w:rsidRPr="00CC3A83">
        <w:rPr>
          <w:lang w:val="da-DK"/>
        </w:rPr>
        <w:t xml:space="preserve"> arbejde tage afsæt i de bærende principper for det tværsektorielle samarbejde, som er beskrevet i </w:t>
      </w:r>
      <w:r>
        <w:rPr>
          <w:lang w:val="da-DK"/>
        </w:rPr>
        <w:t>Sundhedsaftalens</w:t>
      </w:r>
      <w:r w:rsidRPr="00CC3A83">
        <w:rPr>
          <w:lang w:val="da-DK"/>
        </w:rPr>
        <w:t xml:space="preserve"> administrative tillæg. </w:t>
      </w:r>
    </w:p>
    <w:p w14:paraId="58BF803B" w14:textId="77777777" w:rsidR="00D37CCA" w:rsidRDefault="00D37CCA" w:rsidP="00DF1357">
      <w:pPr>
        <w:pStyle w:val="Brdtekst"/>
        <w:spacing w:before="35"/>
        <w:ind w:left="213"/>
        <w:rPr>
          <w:lang w:val="da-DK"/>
        </w:rPr>
      </w:pPr>
    </w:p>
    <w:p w14:paraId="3D861F4A" w14:textId="1578DCE8" w:rsidR="008D682A" w:rsidRPr="00FF12E9" w:rsidRDefault="00DF1357" w:rsidP="00522348">
      <w:pPr>
        <w:pStyle w:val="Overskrift1"/>
        <w:rPr>
          <w:lang w:val="da-DK"/>
        </w:rPr>
      </w:pPr>
      <w:r>
        <w:rPr>
          <w:lang w:val="da-DK"/>
        </w:rPr>
        <w:br/>
      </w:r>
      <w:r w:rsidR="00DE6476">
        <w:rPr>
          <w:lang w:val="da-DK"/>
        </w:rPr>
        <w:t>Kompetencegrupperne</w:t>
      </w:r>
      <w:r w:rsidR="00834658" w:rsidRPr="00FF12E9">
        <w:rPr>
          <w:lang w:val="da-DK"/>
        </w:rPr>
        <w:t>s arbejdsform</w:t>
      </w:r>
      <w:r w:rsidR="00D81ACC">
        <w:rPr>
          <w:lang w:val="da-DK"/>
        </w:rPr>
        <w:t xml:space="preserve"> og organisering</w:t>
      </w:r>
    </w:p>
    <w:p w14:paraId="5D6B355F" w14:textId="77777777" w:rsidR="00D81ACC" w:rsidRDefault="00D81ACC" w:rsidP="004F73D0">
      <w:pPr>
        <w:pStyle w:val="Overskrift1"/>
        <w:rPr>
          <w:rFonts w:cstheme="minorHAnsi"/>
          <w:b w:val="0"/>
          <w:bCs w:val="0"/>
          <w:sz w:val="20"/>
          <w:szCs w:val="20"/>
          <w:lang w:val="da-DK"/>
        </w:rPr>
      </w:pPr>
      <w:r>
        <w:rPr>
          <w:rFonts w:cstheme="minorHAnsi"/>
          <w:b w:val="0"/>
          <w:bCs w:val="0"/>
          <w:sz w:val="20"/>
          <w:szCs w:val="20"/>
          <w:lang w:val="da-DK"/>
        </w:rPr>
        <w:t xml:space="preserve">Kompetencegrupperne involveres ad hoc, når følgegrupperne </w:t>
      </w:r>
      <w:r w:rsidR="001468B5">
        <w:rPr>
          <w:rFonts w:cstheme="minorHAnsi"/>
          <w:b w:val="0"/>
          <w:bCs w:val="0"/>
          <w:sz w:val="20"/>
          <w:szCs w:val="20"/>
          <w:lang w:val="da-DK"/>
        </w:rPr>
        <w:t xml:space="preserve">eller Det Administrative Kontaktforum </w:t>
      </w:r>
      <w:r>
        <w:rPr>
          <w:rFonts w:cstheme="minorHAnsi"/>
          <w:b w:val="0"/>
          <w:bCs w:val="0"/>
          <w:sz w:val="20"/>
          <w:szCs w:val="20"/>
          <w:lang w:val="da-DK"/>
        </w:rPr>
        <w:t>skønner</w:t>
      </w:r>
      <w:r w:rsidR="00F72E8D">
        <w:rPr>
          <w:rFonts w:cstheme="minorHAnsi"/>
          <w:b w:val="0"/>
          <w:bCs w:val="0"/>
          <w:sz w:val="20"/>
          <w:szCs w:val="20"/>
          <w:lang w:val="da-DK"/>
        </w:rPr>
        <w:t>,</w:t>
      </w:r>
      <w:r>
        <w:rPr>
          <w:rFonts w:cstheme="minorHAnsi"/>
          <w:b w:val="0"/>
          <w:bCs w:val="0"/>
          <w:sz w:val="20"/>
          <w:szCs w:val="20"/>
          <w:lang w:val="da-DK"/>
        </w:rPr>
        <w:t xml:space="preserve"> der er behov herfor.</w:t>
      </w:r>
    </w:p>
    <w:p w14:paraId="74EB5A7F" w14:textId="77777777" w:rsidR="00D81ACC" w:rsidRDefault="00D81ACC" w:rsidP="004F73D0">
      <w:pPr>
        <w:pStyle w:val="Overskrift1"/>
        <w:rPr>
          <w:rFonts w:cstheme="minorHAnsi"/>
          <w:b w:val="0"/>
          <w:bCs w:val="0"/>
          <w:sz w:val="20"/>
          <w:szCs w:val="20"/>
          <w:lang w:val="da-DK"/>
        </w:rPr>
      </w:pPr>
    </w:p>
    <w:p w14:paraId="03FBA3F1" w14:textId="4E06CB71" w:rsidR="007E2414" w:rsidRPr="004F73D0" w:rsidRDefault="00DE6476" w:rsidP="004F73D0">
      <w:pPr>
        <w:pStyle w:val="Overskrift1"/>
        <w:rPr>
          <w:rFonts w:cstheme="minorHAnsi"/>
          <w:b w:val="0"/>
          <w:bCs w:val="0"/>
          <w:sz w:val="20"/>
          <w:szCs w:val="20"/>
          <w:lang w:val="da-DK"/>
        </w:rPr>
      </w:pPr>
      <w:r w:rsidRPr="00120CCB">
        <w:rPr>
          <w:rFonts w:cstheme="minorHAnsi"/>
          <w:b w:val="0"/>
          <w:bCs w:val="0"/>
          <w:sz w:val="20"/>
          <w:szCs w:val="20"/>
          <w:lang w:val="da-DK"/>
        </w:rPr>
        <w:t>Kompetencegrupperne</w:t>
      </w:r>
      <w:r w:rsidR="00834658" w:rsidRPr="00120CCB">
        <w:rPr>
          <w:rFonts w:cstheme="minorHAnsi"/>
          <w:b w:val="0"/>
          <w:bCs w:val="0"/>
          <w:sz w:val="20"/>
          <w:szCs w:val="20"/>
          <w:lang w:val="da-DK"/>
        </w:rPr>
        <w:t xml:space="preserve"> refererer til Det Administrative Kontaktforum.</w:t>
      </w:r>
      <w:r w:rsidRPr="00120CCB">
        <w:rPr>
          <w:rFonts w:cstheme="minorHAnsi"/>
          <w:b w:val="0"/>
          <w:bCs w:val="0"/>
          <w:sz w:val="20"/>
          <w:szCs w:val="20"/>
          <w:lang w:val="da-DK"/>
        </w:rPr>
        <w:br/>
      </w:r>
      <w:r w:rsidR="007E2414">
        <w:rPr>
          <w:lang w:val="da-DK"/>
        </w:rPr>
        <w:br/>
      </w:r>
      <w:r w:rsidRPr="00775FC8">
        <w:rPr>
          <w:b w:val="0"/>
          <w:bCs w:val="0"/>
          <w:sz w:val="20"/>
          <w:szCs w:val="20"/>
          <w:lang w:val="da-DK"/>
        </w:rPr>
        <w:t xml:space="preserve">Kompetencegrupperne </w:t>
      </w:r>
      <w:r w:rsidR="00247766" w:rsidRPr="00775FC8">
        <w:rPr>
          <w:b w:val="0"/>
          <w:bCs w:val="0"/>
          <w:sz w:val="20"/>
          <w:szCs w:val="20"/>
          <w:lang w:val="da-DK"/>
        </w:rPr>
        <w:t>har kompetence til</w:t>
      </w:r>
      <w:r w:rsidR="00D37CCA">
        <w:rPr>
          <w:b w:val="0"/>
          <w:bCs w:val="0"/>
          <w:sz w:val="20"/>
          <w:szCs w:val="20"/>
          <w:lang w:val="da-DK"/>
        </w:rPr>
        <w:t>:</w:t>
      </w:r>
    </w:p>
    <w:p w14:paraId="67CCF3F2" w14:textId="77777777" w:rsidR="007E2414" w:rsidRDefault="007E2414" w:rsidP="00247766">
      <w:pPr>
        <w:pStyle w:val="Brdtekst"/>
        <w:spacing w:before="42"/>
        <w:ind w:left="100"/>
        <w:rPr>
          <w:lang w:val="da-DK"/>
        </w:rPr>
      </w:pPr>
    </w:p>
    <w:p w14:paraId="3CB768E0" w14:textId="7C800466" w:rsidR="00DB3EBA" w:rsidRDefault="00E979E0" w:rsidP="001468B5">
      <w:pPr>
        <w:pStyle w:val="Brdtekst"/>
        <w:numPr>
          <w:ilvl w:val="0"/>
          <w:numId w:val="7"/>
        </w:numPr>
        <w:spacing w:before="42"/>
        <w:rPr>
          <w:lang w:val="da-DK"/>
        </w:rPr>
      </w:pPr>
      <w:r>
        <w:rPr>
          <w:lang w:val="da-DK"/>
        </w:rPr>
        <w:t xml:space="preserve">at </w:t>
      </w:r>
      <w:r w:rsidR="00C922D8">
        <w:rPr>
          <w:lang w:val="da-DK"/>
        </w:rPr>
        <w:t>indstille</w:t>
      </w:r>
      <w:r w:rsidR="007E2414" w:rsidRPr="00247766">
        <w:rPr>
          <w:lang w:val="da-DK"/>
        </w:rPr>
        <w:t xml:space="preserve"> sager til </w:t>
      </w:r>
      <w:r w:rsidR="00FC1340">
        <w:rPr>
          <w:lang w:val="da-DK"/>
        </w:rPr>
        <w:t xml:space="preserve">orientering, </w:t>
      </w:r>
      <w:r w:rsidR="007E2414" w:rsidRPr="00247766">
        <w:rPr>
          <w:lang w:val="da-DK"/>
        </w:rPr>
        <w:t>drøftelse og beslutning i</w:t>
      </w:r>
      <w:r w:rsidR="007E2414" w:rsidRPr="00247766">
        <w:rPr>
          <w:spacing w:val="-3"/>
          <w:lang w:val="da-DK"/>
        </w:rPr>
        <w:t xml:space="preserve"> </w:t>
      </w:r>
      <w:r w:rsidR="00FC1340">
        <w:rPr>
          <w:lang w:val="da-DK"/>
        </w:rPr>
        <w:t>f</w:t>
      </w:r>
      <w:r w:rsidR="007E2414" w:rsidRPr="00247766">
        <w:rPr>
          <w:lang w:val="da-DK"/>
        </w:rPr>
        <w:t>ølgegrupperne</w:t>
      </w:r>
      <w:r w:rsidR="007E2414">
        <w:rPr>
          <w:lang w:val="da-DK"/>
        </w:rPr>
        <w:t xml:space="preserve"> og </w:t>
      </w:r>
      <w:r w:rsidR="007E2414" w:rsidRPr="00FF12E9">
        <w:rPr>
          <w:lang w:val="da-DK"/>
        </w:rPr>
        <w:t>Det Administrative Kontaktforum</w:t>
      </w:r>
    </w:p>
    <w:p w14:paraId="633F2AAC" w14:textId="75B77E4C" w:rsidR="001468B5" w:rsidRPr="00DB3EBA" w:rsidRDefault="00E979E0" w:rsidP="00DB3EBA">
      <w:pPr>
        <w:pStyle w:val="Brdtekst"/>
        <w:numPr>
          <w:ilvl w:val="0"/>
          <w:numId w:val="7"/>
        </w:numPr>
        <w:spacing w:before="42"/>
        <w:rPr>
          <w:lang w:val="da-DK"/>
        </w:rPr>
      </w:pPr>
      <w:r w:rsidRPr="001468B5">
        <w:rPr>
          <w:lang w:val="da-DK"/>
        </w:rPr>
        <w:t xml:space="preserve">at </w:t>
      </w:r>
      <w:r w:rsidR="004F73D0" w:rsidRPr="001468B5">
        <w:rPr>
          <w:lang w:val="da-DK"/>
        </w:rPr>
        <w:t>udpege og involvere</w:t>
      </w:r>
      <w:r w:rsidR="00405378" w:rsidRPr="001468B5">
        <w:rPr>
          <w:lang w:val="da-DK"/>
        </w:rPr>
        <w:t xml:space="preserve"> </w:t>
      </w:r>
      <w:r w:rsidR="00120CCB" w:rsidRPr="001468B5">
        <w:rPr>
          <w:lang w:val="da-DK"/>
        </w:rPr>
        <w:t xml:space="preserve">relevante fagpersoner fra egen organisation </w:t>
      </w:r>
      <w:r w:rsidR="007E2414" w:rsidRPr="001468B5">
        <w:rPr>
          <w:lang w:val="da-DK"/>
        </w:rPr>
        <w:t>ad hoc</w:t>
      </w:r>
      <w:r w:rsidR="004F73D0" w:rsidRPr="001468B5">
        <w:rPr>
          <w:lang w:val="da-DK"/>
        </w:rPr>
        <w:t>,</w:t>
      </w:r>
      <w:r w:rsidR="007E2414" w:rsidRPr="001468B5">
        <w:rPr>
          <w:lang w:val="da-DK"/>
        </w:rPr>
        <w:t xml:space="preserve"> som</w:t>
      </w:r>
      <w:r w:rsidR="004F73D0" w:rsidRPr="001468B5">
        <w:rPr>
          <w:lang w:val="da-DK"/>
        </w:rPr>
        <w:t xml:space="preserve"> led i løsningen af de opgaver </w:t>
      </w:r>
      <w:r w:rsidR="007E2414" w:rsidRPr="001468B5">
        <w:rPr>
          <w:lang w:val="da-DK"/>
        </w:rPr>
        <w:t>fø</w:t>
      </w:r>
      <w:r w:rsidR="00405378" w:rsidRPr="0061240C">
        <w:rPr>
          <w:lang w:val="da-DK"/>
        </w:rPr>
        <w:t xml:space="preserve">lgegrupperne </w:t>
      </w:r>
      <w:r w:rsidR="00D300D3" w:rsidRPr="0061240C">
        <w:rPr>
          <w:lang w:val="da-DK"/>
        </w:rPr>
        <w:t xml:space="preserve">eller Det Administrative Kontaktforum </w:t>
      </w:r>
      <w:r w:rsidR="00405378" w:rsidRPr="0061240C">
        <w:rPr>
          <w:lang w:val="da-DK"/>
        </w:rPr>
        <w:t>har besluttet</w:t>
      </w:r>
      <w:r w:rsidR="00D37CCA">
        <w:rPr>
          <w:lang w:val="da-DK"/>
        </w:rPr>
        <w:t>.</w:t>
      </w:r>
    </w:p>
    <w:p w14:paraId="0954E566" w14:textId="77777777" w:rsidR="00DB3EBA" w:rsidRDefault="00DB3EBA" w:rsidP="0061240C">
      <w:pPr>
        <w:pStyle w:val="Brdtekst"/>
        <w:spacing w:before="42"/>
        <w:ind w:left="520"/>
        <w:rPr>
          <w:lang w:val="da-DK"/>
        </w:rPr>
      </w:pPr>
    </w:p>
    <w:p w14:paraId="18F13686" w14:textId="5635AE32" w:rsidR="008D682A" w:rsidRPr="001468B5" w:rsidRDefault="00DE4F26" w:rsidP="00DB3EBA">
      <w:pPr>
        <w:pStyle w:val="Brdtekst"/>
        <w:spacing w:before="42"/>
        <w:ind w:left="213"/>
        <w:rPr>
          <w:lang w:val="da-DK"/>
        </w:rPr>
      </w:pPr>
      <w:r w:rsidRPr="001468B5">
        <w:rPr>
          <w:lang w:val="da-DK"/>
        </w:rPr>
        <w:t>Kompetencegrupperne har ikke nogen fast mødekadence, men der opfordres til, at der afholdes kvartalsvis</w:t>
      </w:r>
      <w:r w:rsidR="00C517D9">
        <w:rPr>
          <w:lang w:val="da-DK"/>
        </w:rPr>
        <w:t>e</w:t>
      </w:r>
      <w:r w:rsidRPr="001468B5">
        <w:rPr>
          <w:lang w:val="da-DK"/>
        </w:rPr>
        <w:t xml:space="preserve"> </w:t>
      </w:r>
      <w:r w:rsidR="00870FAD">
        <w:rPr>
          <w:lang w:val="da-DK"/>
        </w:rPr>
        <w:t xml:space="preserve">møder mellem tovholderne </w:t>
      </w:r>
      <w:r w:rsidRPr="001468B5">
        <w:rPr>
          <w:lang w:val="da-DK"/>
        </w:rPr>
        <w:t>med henblik på at sikre videndeling</w:t>
      </w:r>
      <w:r w:rsidR="005E28B1" w:rsidRPr="001468B5">
        <w:rPr>
          <w:lang w:val="da-DK"/>
        </w:rPr>
        <w:t>.</w:t>
      </w:r>
    </w:p>
    <w:p w14:paraId="78C57C8E" w14:textId="77777777" w:rsidR="008D682A" w:rsidRPr="00FF12E9" w:rsidRDefault="008D682A">
      <w:pPr>
        <w:pStyle w:val="Brdtekst"/>
        <w:spacing w:before="10"/>
        <w:rPr>
          <w:sz w:val="21"/>
          <w:lang w:val="da-DK"/>
        </w:rPr>
      </w:pPr>
    </w:p>
    <w:p w14:paraId="4B485789" w14:textId="77777777" w:rsidR="008D682A" w:rsidRPr="00FF12E9" w:rsidRDefault="00120CCB">
      <w:pPr>
        <w:pStyle w:val="Overskrift1"/>
        <w:rPr>
          <w:lang w:val="da-DK"/>
        </w:rPr>
      </w:pPr>
      <w:r>
        <w:rPr>
          <w:lang w:val="da-DK"/>
        </w:rPr>
        <w:t>Kompetence</w:t>
      </w:r>
      <w:r w:rsidR="00834658" w:rsidRPr="00FF12E9">
        <w:rPr>
          <w:lang w:val="da-DK"/>
        </w:rPr>
        <w:t>gruppens sammensætning</w:t>
      </w:r>
    </w:p>
    <w:p w14:paraId="3152F7AA" w14:textId="6B8F45A5" w:rsidR="00510A6F" w:rsidRDefault="00C517D9" w:rsidP="00B01FBC">
      <w:pPr>
        <w:pStyle w:val="Brdtekst"/>
        <w:ind w:left="213"/>
        <w:rPr>
          <w:rFonts w:cstheme="minorHAnsi"/>
          <w:lang w:val="da-DK"/>
        </w:rPr>
      </w:pPr>
      <w:r>
        <w:rPr>
          <w:rFonts w:cstheme="minorHAnsi"/>
          <w:lang w:val="da-DK"/>
        </w:rPr>
        <w:t>Hver k</w:t>
      </w:r>
      <w:r w:rsidR="00F95AF4" w:rsidRPr="00314CDE">
        <w:rPr>
          <w:rFonts w:cstheme="minorHAnsi"/>
          <w:lang w:val="da-DK"/>
        </w:rPr>
        <w:t>ompetencegruppe</w:t>
      </w:r>
      <w:r w:rsidR="00F95AF4" w:rsidRPr="0094260E">
        <w:rPr>
          <w:rFonts w:cstheme="minorHAnsi"/>
          <w:lang w:val="da-DK"/>
        </w:rPr>
        <w:t xml:space="preserve"> </w:t>
      </w:r>
      <w:r w:rsidR="00F95AF4" w:rsidRPr="00314CDE">
        <w:rPr>
          <w:rFonts w:cstheme="minorHAnsi"/>
          <w:lang w:val="da-DK"/>
        </w:rPr>
        <w:t>bestå</w:t>
      </w:r>
      <w:r w:rsidR="00F95AF4">
        <w:rPr>
          <w:rFonts w:cstheme="minorHAnsi"/>
          <w:lang w:val="da-DK"/>
        </w:rPr>
        <w:t>r</w:t>
      </w:r>
      <w:r w:rsidR="00F95AF4" w:rsidRPr="00314CDE">
        <w:rPr>
          <w:rFonts w:cstheme="minorHAnsi"/>
          <w:lang w:val="da-DK"/>
        </w:rPr>
        <w:t xml:space="preserve"> </w:t>
      </w:r>
      <w:r w:rsidR="002F4198">
        <w:rPr>
          <w:rFonts w:cstheme="minorHAnsi"/>
          <w:lang w:val="da-DK"/>
        </w:rPr>
        <w:t xml:space="preserve">af </w:t>
      </w:r>
      <w:r w:rsidR="00BC3B04">
        <w:rPr>
          <w:rFonts w:cstheme="minorHAnsi"/>
          <w:lang w:val="da-DK"/>
        </w:rPr>
        <w:t>fire tovholdere</w:t>
      </w:r>
      <w:r>
        <w:rPr>
          <w:rFonts w:cstheme="minorHAnsi"/>
          <w:lang w:val="da-DK"/>
        </w:rPr>
        <w:t xml:space="preserve">, </w:t>
      </w:r>
      <w:r w:rsidR="00BC3B04">
        <w:rPr>
          <w:rFonts w:cstheme="minorHAnsi"/>
          <w:lang w:val="da-DK"/>
        </w:rPr>
        <w:t>to regionale og to kommunale</w:t>
      </w:r>
      <w:r>
        <w:rPr>
          <w:rFonts w:cstheme="minorHAnsi"/>
          <w:lang w:val="da-DK"/>
        </w:rPr>
        <w:t>,</w:t>
      </w:r>
      <w:r w:rsidR="00BC3B04">
        <w:rPr>
          <w:rFonts w:cstheme="minorHAnsi"/>
          <w:lang w:val="da-DK"/>
        </w:rPr>
        <w:t xml:space="preserve"> samt et</w:t>
      </w:r>
      <w:r w:rsidR="001A5867">
        <w:rPr>
          <w:rFonts w:cstheme="minorHAnsi"/>
          <w:lang w:val="da-DK"/>
        </w:rPr>
        <w:t xml:space="preserve"> antal </w:t>
      </w:r>
      <w:r w:rsidR="00C922D8">
        <w:rPr>
          <w:rFonts w:cstheme="minorHAnsi"/>
          <w:lang w:val="da-DK"/>
        </w:rPr>
        <w:t>kommunale og r</w:t>
      </w:r>
      <w:r w:rsidR="00F95AF4" w:rsidRPr="00314CDE">
        <w:rPr>
          <w:rFonts w:cstheme="minorHAnsi"/>
          <w:lang w:val="da-DK"/>
        </w:rPr>
        <w:t xml:space="preserve">egionale repræsentanter, som har særlige kompetencer inden for </w:t>
      </w:r>
      <w:r w:rsidR="00C922D8">
        <w:rPr>
          <w:rFonts w:cstheme="minorHAnsi"/>
          <w:lang w:val="da-DK"/>
        </w:rPr>
        <w:t>det af de tre områder, de repræsent</w:t>
      </w:r>
      <w:r w:rsidR="00344832">
        <w:rPr>
          <w:rFonts w:cstheme="minorHAnsi"/>
          <w:lang w:val="da-DK"/>
        </w:rPr>
        <w:t>erer</w:t>
      </w:r>
      <w:bookmarkStart w:id="0" w:name="_GoBack"/>
      <w:bookmarkEnd w:id="0"/>
      <w:r w:rsidR="001A5867">
        <w:rPr>
          <w:rFonts w:cstheme="minorHAnsi"/>
          <w:lang w:val="da-DK"/>
        </w:rPr>
        <w:t xml:space="preserve">. </w:t>
      </w:r>
      <w:r w:rsidR="00510A6F">
        <w:rPr>
          <w:rFonts w:cstheme="minorHAnsi"/>
          <w:lang w:val="da-DK"/>
        </w:rPr>
        <w:t xml:space="preserve"> </w:t>
      </w:r>
    </w:p>
    <w:p w14:paraId="6AB8C292" w14:textId="646898A4" w:rsidR="00510A6F" w:rsidRDefault="00C517D9" w:rsidP="00C517D9">
      <w:pPr>
        <w:pStyle w:val="Brdtekst"/>
        <w:ind w:left="213"/>
        <w:rPr>
          <w:rFonts w:cstheme="minorHAnsi"/>
          <w:lang w:val="da-DK"/>
        </w:rPr>
      </w:pPr>
      <w:r>
        <w:rPr>
          <w:rFonts w:cstheme="minorHAnsi"/>
          <w:lang w:val="da-DK"/>
        </w:rPr>
        <w:br/>
      </w:r>
      <w:r w:rsidR="009746C4">
        <w:rPr>
          <w:rFonts w:cstheme="minorHAnsi"/>
          <w:lang w:val="da-DK"/>
        </w:rPr>
        <w:lastRenderedPageBreak/>
        <w:t>V</w:t>
      </w:r>
      <w:r w:rsidR="006650C5">
        <w:rPr>
          <w:rFonts w:cstheme="minorHAnsi"/>
          <w:lang w:val="da-DK"/>
        </w:rPr>
        <w:t xml:space="preserve">ed udpegningen </w:t>
      </w:r>
      <w:r w:rsidR="009746C4">
        <w:rPr>
          <w:rFonts w:cstheme="minorHAnsi"/>
          <w:lang w:val="da-DK"/>
        </w:rPr>
        <w:t xml:space="preserve">søges det </w:t>
      </w:r>
      <w:r w:rsidR="00FC1340">
        <w:rPr>
          <w:rFonts w:cstheme="minorHAnsi"/>
          <w:lang w:val="da-DK"/>
        </w:rPr>
        <w:t>sikre</w:t>
      </w:r>
      <w:r w:rsidR="009746C4">
        <w:rPr>
          <w:rFonts w:cstheme="minorHAnsi"/>
          <w:lang w:val="da-DK"/>
        </w:rPr>
        <w:t>t</w:t>
      </w:r>
      <w:r w:rsidR="00FC1340">
        <w:rPr>
          <w:rFonts w:cstheme="minorHAnsi"/>
          <w:lang w:val="da-DK"/>
        </w:rPr>
        <w:t xml:space="preserve">, at </w:t>
      </w:r>
      <w:r w:rsidR="006650C5">
        <w:rPr>
          <w:rFonts w:cstheme="minorHAnsi"/>
          <w:lang w:val="da-DK"/>
        </w:rPr>
        <w:t>kompetence</w:t>
      </w:r>
      <w:r w:rsidR="00FC1340">
        <w:rPr>
          <w:rFonts w:cstheme="minorHAnsi"/>
          <w:lang w:val="da-DK"/>
        </w:rPr>
        <w:t>gruppe</w:t>
      </w:r>
      <w:r w:rsidR="006650C5">
        <w:rPr>
          <w:rFonts w:cstheme="minorHAnsi"/>
          <w:lang w:val="da-DK"/>
        </w:rPr>
        <w:t>r</w:t>
      </w:r>
      <w:r w:rsidR="00FC1340">
        <w:rPr>
          <w:rFonts w:cstheme="minorHAnsi"/>
          <w:lang w:val="da-DK"/>
        </w:rPr>
        <w:t>n</w:t>
      </w:r>
      <w:r w:rsidR="006650C5">
        <w:rPr>
          <w:rFonts w:cstheme="minorHAnsi"/>
          <w:lang w:val="da-DK"/>
        </w:rPr>
        <w:t>e</w:t>
      </w:r>
      <w:r w:rsidR="00FC1340">
        <w:rPr>
          <w:rFonts w:cstheme="minorHAnsi"/>
          <w:lang w:val="da-DK"/>
        </w:rPr>
        <w:t>s repræsentanter besidder de relevante kompetencer til at løse opgaverne</w:t>
      </w:r>
      <w:r w:rsidR="009746C4">
        <w:rPr>
          <w:rFonts w:cstheme="minorHAnsi"/>
          <w:lang w:val="da-DK"/>
        </w:rPr>
        <w:t xml:space="preserve">. Såfremt det viser sig, at en kompetencegruppe ikke besidder alle nødvendige kompetencer, kan der </w:t>
      </w:r>
      <w:r w:rsidR="006650C5">
        <w:rPr>
          <w:rFonts w:cstheme="minorHAnsi"/>
          <w:lang w:val="da-DK"/>
        </w:rPr>
        <w:t>ad hoc</w:t>
      </w:r>
      <w:r w:rsidR="00FC1340">
        <w:rPr>
          <w:rFonts w:cstheme="minorHAnsi"/>
          <w:lang w:val="da-DK"/>
        </w:rPr>
        <w:t xml:space="preserve"> </w:t>
      </w:r>
      <w:r w:rsidR="009746C4">
        <w:rPr>
          <w:rFonts w:cstheme="minorHAnsi"/>
          <w:lang w:val="da-DK"/>
        </w:rPr>
        <w:t xml:space="preserve">udpeges </w:t>
      </w:r>
      <w:r w:rsidR="00FC1340">
        <w:rPr>
          <w:rFonts w:cstheme="minorHAnsi"/>
          <w:lang w:val="da-DK"/>
        </w:rPr>
        <w:t>ressource</w:t>
      </w:r>
      <w:r w:rsidR="009746C4">
        <w:rPr>
          <w:rFonts w:cstheme="minorHAnsi"/>
          <w:lang w:val="da-DK"/>
        </w:rPr>
        <w:t>personer til afgrænsede opgaver.</w:t>
      </w:r>
      <w:r w:rsidR="00FC1340">
        <w:rPr>
          <w:rFonts w:cstheme="minorHAnsi"/>
          <w:lang w:val="da-DK"/>
        </w:rPr>
        <w:t xml:space="preserve"> </w:t>
      </w:r>
      <w:r w:rsidR="00510A6F">
        <w:rPr>
          <w:rFonts w:cstheme="minorHAnsi"/>
          <w:lang w:val="da-DK"/>
        </w:rPr>
        <w:t>Såvel regionen</w:t>
      </w:r>
      <w:r w:rsidR="00DE4F26">
        <w:rPr>
          <w:rFonts w:cstheme="minorHAnsi"/>
          <w:lang w:val="da-DK"/>
        </w:rPr>
        <w:t xml:space="preserve"> (inkl. sygehusene, somatik og psykiatri)</w:t>
      </w:r>
      <w:r w:rsidR="00510A6F">
        <w:rPr>
          <w:rFonts w:cstheme="minorHAnsi"/>
          <w:lang w:val="da-DK"/>
        </w:rPr>
        <w:t xml:space="preserve"> som de 22 kommuner forpligter sig på at stille de nødvendige ressourcer til rådighed.</w:t>
      </w:r>
    </w:p>
    <w:p w14:paraId="4D0D5D44" w14:textId="3DCD16BA" w:rsidR="00F95AF4" w:rsidRPr="0094260E" w:rsidRDefault="001A5867" w:rsidP="00B01FBC">
      <w:pPr>
        <w:pStyle w:val="Brdtekst"/>
        <w:ind w:left="213"/>
        <w:rPr>
          <w:lang w:val="da-DK"/>
        </w:rPr>
      </w:pPr>
      <w:r>
        <w:rPr>
          <w:lang w:val="da-DK"/>
        </w:rPr>
        <w:br/>
      </w:r>
      <w:r w:rsidR="00D37CCA">
        <w:rPr>
          <w:lang w:val="da-DK"/>
        </w:rPr>
        <w:t xml:space="preserve">Kompetencegruppernes </w:t>
      </w:r>
      <w:proofErr w:type="gramStart"/>
      <w:r w:rsidR="00D37CCA">
        <w:rPr>
          <w:lang w:val="da-DK"/>
        </w:rPr>
        <w:t>t</w:t>
      </w:r>
      <w:r>
        <w:rPr>
          <w:lang w:val="da-DK"/>
        </w:rPr>
        <w:t>ovholderne</w:t>
      </w:r>
      <w:proofErr w:type="gramEnd"/>
      <w:r w:rsidR="00D37CCA">
        <w:rPr>
          <w:lang w:val="da-DK"/>
        </w:rPr>
        <w:t xml:space="preserve"> har en særlig rolle i forhold til at</w:t>
      </w:r>
      <w:r>
        <w:rPr>
          <w:lang w:val="da-DK"/>
        </w:rPr>
        <w:t xml:space="preserve"> have et solidt overblik over</w:t>
      </w:r>
      <w:r w:rsidR="00FC1340">
        <w:rPr>
          <w:lang w:val="da-DK"/>
        </w:rPr>
        <w:t xml:space="preserve"> opgaver</w:t>
      </w:r>
      <w:r w:rsidR="00621811">
        <w:rPr>
          <w:lang w:val="da-DK"/>
        </w:rPr>
        <w:t>ne</w:t>
      </w:r>
      <w:r w:rsidR="00FC1340">
        <w:rPr>
          <w:lang w:val="da-DK"/>
        </w:rPr>
        <w:t xml:space="preserve"> inden for området, så følgegrupperne kan spare med tovholder</w:t>
      </w:r>
      <w:r w:rsidR="006650C5">
        <w:rPr>
          <w:lang w:val="da-DK"/>
        </w:rPr>
        <w:t>ne</w:t>
      </w:r>
      <w:r w:rsidR="00FC1340">
        <w:rPr>
          <w:lang w:val="da-DK"/>
        </w:rPr>
        <w:t>, og så tovholder</w:t>
      </w:r>
      <w:r w:rsidR="00621811">
        <w:rPr>
          <w:lang w:val="da-DK"/>
        </w:rPr>
        <w:t>n</w:t>
      </w:r>
      <w:r w:rsidR="00FC1340">
        <w:rPr>
          <w:lang w:val="da-DK"/>
        </w:rPr>
        <w:t>e i samarbejde med resten af kompetencegruppen</w:t>
      </w:r>
      <w:r w:rsidR="009E281E">
        <w:rPr>
          <w:lang w:val="da-DK"/>
        </w:rPr>
        <w:t xml:space="preserve"> ved behov </w:t>
      </w:r>
      <w:r w:rsidR="00FC1340">
        <w:rPr>
          <w:lang w:val="da-DK"/>
        </w:rPr>
        <w:t xml:space="preserve">kan udpege </w:t>
      </w:r>
      <w:r w:rsidR="009E281E">
        <w:rPr>
          <w:lang w:val="da-DK"/>
        </w:rPr>
        <w:t xml:space="preserve">yderligere </w:t>
      </w:r>
      <w:r w:rsidR="00FC1340">
        <w:rPr>
          <w:lang w:val="da-DK"/>
        </w:rPr>
        <w:t>relevante kompetencer til arbejdet.</w:t>
      </w:r>
      <w:r w:rsidR="00DB3EBA">
        <w:rPr>
          <w:lang w:val="da-DK"/>
        </w:rPr>
        <w:t xml:space="preserve"> Det forventes, at tovholderne har de</w:t>
      </w:r>
      <w:r w:rsidR="00FC1340">
        <w:rPr>
          <w:lang w:val="da-DK"/>
        </w:rPr>
        <w:t>t</w:t>
      </w:r>
      <w:r w:rsidR="00DB3EBA">
        <w:rPr>
          <w:lang w:val="da-DK"/>
        </w:rPr>
        <w:t xml:space="preserve"> nødvendige </w:t>
      </w:r>
      <w:r w:rsidR="00FC1340">
        <w:rPr>
          <w:lang w:val="da-DK"/>
        </w:rPr>
        <w:t>mandat til at kunne igangsætte arbejdet i kompetencegruppen</w:t>
      </w:r>
      <w:r w:rsidR="00DB3EBA">
        <w:rPr>
          <w:lang w:val="da-DK"/>
        </w:rPr>
        <w:t>.</w:t>
      </w:r>
    </w:p>
    <w:p w14:paraId="14BFC7B5" w14:textId="77777777" w:rsidR="008D682A" w:rsidRPr="00FF12E9" w:rsidRDefault="008D682A">
      <w:pPr>
        <w:pStyle w:val="Brdtekst"/>
        <w:rPr>
          <w:sz w:val="23"/>
          <w:lang w:val="da-DK"/>
        </w:rPr>
      </w:pPr>
    </w:p>
    <w:p w14:paraId="1C5D219B" w14:textId="77777777" w:rsidR="008D682A" w:rsidRPr="00FF12E9" w:rsidRDefault="00834658">
      <w:pPr>
        <w:pStyle w:val="Overskrift3"/>
        <w:rPr>
          <w:lang w:val="da-DK"/>
        </w:rPr>
      </w:pPr>
      <w:r w:rsidRPr="00FF12E9">
        <w:rPr>
          <w:lang w:val="da-DK"/>
        </w:rPr>
        <w:t>Kompetencer</w:t>
      </w:r>
    </w:p>
    <w:p w14:paraId="3BDEE949" w14:textId="77777777" w:rsidR="00CB4122" w:rsidRPr="00035396" w:rsidRDefault="00CB4122" w:rsidP="00035396">
      <w:pPr>
        <w:pStyle w:val="Brdtekst"/>
        <w:spacing w:before="35"/>
        <w:ind w:left="213"/>
        <w:rPr>
          <w:rFonts w:cstheme="minorHAnsi"/>
          <w:lang w:val="da-DK"/>
        </w:rPr>
      </w:pPr>
      <w:r>
        <w:rPr>
          <w:lang w:val="da-DK"/>
        </w:rPr>
        <w:t xml:space="preserve">Kompetencegrupperne </w:t>
      </w:r>
      <w:r w:rsidR="00834658" w:rsidRPr="00FF12E9">
        <w:rPr>
          <w:lang w:val="da-DK"/>
        </w:rPr>
        <w:t xml:space="preserve">skal </w:t>
      </w:r>
      <w:r w:rsidR="004F73D0">
        <w:rPr>
          <w:lang w:val="da-DK"/>
        </w:rPr>
        <w:t xml:space="preserve">så vidt muligt </w:t>
      </w:r>
      <w:r w:rsidR="00834658" w:rsidRPr="00FF12E9">
        <w:rPr>
          <w:lang w:val="da-DK"/>
        </w:rPr>
        <w:t xml:space="preserve">sammensættes under hensyn til </w:t>
      </w:r>
      <w:r w:rsidR="006B67A4">
        <w:rPr>
          <w:lang w:val="da-DK"/>
        </w:rPr>
        <w:t xml:space="preserve">en vis </w:t>
      </w:r>
      <w:r w:rsidR="00834658" w:rsidRPr="00FF12E9">
        <w:rPr>
          <w:lang w:val="da-DK"/>
        </w:rPr>
        <w:t>geografisk repræsentativitet.</w:t>
      </w:r>
      <w:r w:rsidR="00F72E8D">
        <w:rPr>
          <w:lang w:val="da-DK"/>
        </w:rPr>
        <w:br/>
      </w:r>
      <w:r w:rsidR="00F72E8D">
        <w:rPr>
          <w:lang w:val="da-DK"/>
        </w:rPr>
        <w:br/>
        <w:t>I udpegningen skal</w:t>
      </w:r>
      <w:r>
        <w:rPr>
          <w:lang w:val="da-DK"/>
        </w:rPr>
        <w:t xml:space="preserve"> det sikres, at de enkelte kompetencegrupper har følgende kompetencer til stede.</w:t>
      </w:r>
      <w:r>
        <w:rPr>
          <w:lang w:val="da-DK"/>
        </w:rPr>
        <w:br/>
      </w:r>
      <w:r>
        <w:rPr>
          <w:lang w:val="da-DK"/>
        </w:rPr>
        <w:br/>
      </w:r>
      <w:r w:rsidRPr="00035396">
        <w:rPr>
          <w:u w:val="single"/>
          <w:lang w:val="da-DK"/>
        </w:rPr>
        <w:t xml:space="preserve">Kompetencegruppen </w:t>
      </w:r>
      <w:r w:rsidR="00E53CB9">
        <w:rPr>
          <w:u w:val="single"/>
          <w:lang w:val="da-DK"/>
        </w:rPr>
        <w:t>for</w:t>
      </w:r>
      <w:r w:rsidRPr="00035396">
        <w:rPr>
          <w:u w:val="single"/>
          <w:lang w:val="da-DK"/>
        </w:rPr>
        <w:t xml:space="preserve"> </w:t>
      </w:r>
      <w:r w:rsidRPr="00035396">
        <w:rPr>
          <w:rFonts w:cstheme="minorHAnsi"/>
          <w:u w:val="single"/>
          <w:lang w:val="da-DK"/>
        </w:rPr>
        <w:t>monitorering:</w:t>
      </w:r>
      <w:r w:rsidRPr="00035396">
        <w:rPr>
          <w:rFonts w:cstheme="minorHAnsi"/>
          <w:u w:val="single"/>
          <w:lang w:val="da-DK"/>
        </w:rPr>
        <w:br/>
      </w:r>
      <w:r>
        <w:rPr>
          <w:rFonts w:cstheme="minorHAnsi"/>
          <w:lang w:val="da-DK"/>
        </w:rPr>
        <w:t>Viden om mo</w:t>
      </w:r>
      <w:r w:rsidR="00D81ACC">
        <w:rPr>
          <w:rFonts w:cstheme="minorHAnsi"/>
          <w:lang w:val="da-DK"/>
        </w:rPr>
        <w:t xml:space="preserve">nitorering, evaluering, kvalitetsarbejde og </w:t>
      </w:r>
      <w:r>
        <w:rPr>
          <w:rFonts w:cstheme="minorHAnsi"/>
          <w:lang w:val="da-DK"/>
        </w:rPr>
        <w:t>sundhedsdata</w:t>
      </w:r>
      <w:r w:rsidR="00035396">
        <w:rPr>
          <w:rFonts w:cstheme="minorHAnsi"/>
          <w:lang w:val="da-DK"/>
        </w:rPr>
        <w:t>.</w:t>
      </w:r>
      <w:r w:rsidR="00035396">
        <w:rPr>
          <w:rFonts w:cstheme="minorHAnsi"/>
          <w:lang w:val="da-DK"/>
        </w:rPr>
        <w:br/>
      </w:r>
      <w:r w:rsidR="00035396">
        <w:rPr>
          <w:rFonts w:cstheme="minorHAnsi"/>
          <w:lang w:val="da-DK"/>
        </w:rPr>
        <w:br/>
      </w:r>
      <w:r w:rsidR="00035396" w:rsidRPr="00035396">
        <w:rPr>
          <w:u w:val="single"/>
          <w:lang w:val="da-DK"/>
        </w:rPr>
        <w:t xml:space="preserve">Kompetencegruppen </w:t>
      </w:r>
      <w:r w:rsidR="00E53CB9">
        <w:rPr>
          <w:u w:val="single"/>
          <w:lang w:val="da-DK"/>
        </w:rPr>
        <w:t>for</w:t>
      </w:r>
      <w:r w:rsidR="00035396" w:rsidRPr="00035396">
        <w:rPr>
          <w:u w:val="single"/>
          <w:lang w:val="da-DK"/>
        </w:rPr>
        <w:t xml:space="preserve"> </w:t>
      </w:r>
      <w:r w:rsidRPr="00035396">
        <w:rPr>
          <w:rFonts w:cstheme="minorHAnsi"/>
          <w:u w:val="single"/>
          <w:lang w:val="da-DK"/>
        </w:rPr>
        <w:t>opgaveoverdragelse</w:t>
      </w:r>
      <w:r w:rsidR="00035396" w:rsidRPr="00035396">
        <w:rPr>
          <w:rFonts w:cstheme="minorHAnsi"/>
          <w:u w:val="single"/>
          <w:lang w:val="da-DK"/>
        </w:rPr>
        <w:t>:</w:t>
      </w:r>
      <w:r w:rsidR="00035396">
        <w:rPr>
          <w:rFonts w:cstheme="minorHAnsi"/>
          <w:lang w:val="da-DK"/>
        </w:rPr>
        <w:t xml:space="preserve"> </w:t>
      </w:r>
      <w:r w:rsidR="00035396">
        <w:rPr>
          <w:rFonts w:cstheme="minorHAnsi"/>
          <w:lang w:val="da-DK"/>
        </w:rPr>
        <w:br/>
        <w:t>Viden om tværsektorielt samarbejde</w:t>
      </w:r>
      <w:r w:rsidR="00D81ACC">
        <w:rPr>
          <w:rFonts w:cstheme="minorHAnsi"/>
          <w:lang w:val="da-DK"/>
        </w:rPr>
        <w:t>, samarbejdsaftaler</w:t>
      </w:r>
      <w:r w:rsidR="00035396">
        <w:rPr>
          <w:rFonts w:cstheme="minorHAnsi"/>
          <w:lang w:val="da-DK"/>
        </w:rPr>
        <w:t xml:space="preserve"> og </w:t>
      </w:r>
      <w:r w:rsidR="006B67A4">
        <w:rPr>
          <w:rFonts w:cstheme="minorHAnsi"/>
          <w:lang w:val="da-DK"/>
        </w:rPr>
        <w:t>modellen for aftalt og planlagt opgaveoverdragelse.</w:t>
      </w:r>
      <w:r w:rsidR="00035396">
        <w:rPr>
          <w:rFonts w:cstheme="minorHAnsi"/>
          <w:lang w:val="da-DK"/>
        </w:rPr>
        <w:br/>
      </w:r>
      <w:r w:rsidR="00035396">
        <w:rPr>
          <w:rFonts w:cstheme="minorHAnsi"/>
          <w:lang w:val="da-DK"/>
        </w:rPr>
        <w:br/>
      </w:r>
      <w:r w:rsidR="00035396" w:rsidRPr="00035396">
        <w:rPr>
          <w:u w:val="single"/>
          <w:lang w:val="da-DK"/>
        </w:rPr>
        <w:t xml:space="preserve">Kompetencegruppen </w:t>
      </w:r>
      <w:r w:rsidR="00E53CB9">
        <w:rPr>
          <w:u w:val="single"/>
          <w:lang w:val="da-DK"/>
        </w:rPr>
        <w:t>for</w:t>
      </w:r>
      <w:r w:rsidR="00035396" w:rsidRPr="00035396">
        <w:rPr>
          <w:u w:val="single"/>
          <w:lang w:val="da-DK"/>
        </w:rPr>
        <w:t xml:space="preserve"> </w:t>
      </w:r>
      <w:r w:rsidRPr="00035396">
        <w:rPr>
          <w:rFonts w:cstheme="minorHAnsi"/>
          <w:u w:val="single"/>
          <w:lang w:val="da-DK"/>
        </w:rPr>
        <w:t>sundhedsteknologi</w:t>
      </w:r>
      <w:r w:rsidR="00035396" w:rsidRPr="00035396">
        <w:rPr>
          <w:rFonts w:cstheme="minorHAnsi"/>
          <w:u w:val="single"/>
          <w:lang w:val="da-DK"/>
        </w:rPr>
        <w:t>:</w:t>
      </w:r>
    </w:p>
    <w:p w14:paraId="71A87546" w14:textId="77777777" w:rsidR="00CB4122" w:rsidRPr="00FF12E9" w:rsidRDefault="00035396">
      <w:pPr>
        <w:pStyle w:val="Brdtekst"/>
        <w:spacing w:before="35"/>
        <w:ind w:left="213"/>
        <w:rPr>
          <w:lang w:val="da-DK"/>
        </w:rPr>
      </w:pPr>
      <w:r>
        <w:rPr>
          <w:rFonts w:cstheme="minorHAnsi"/>
          <w:lang w:val="da-DK"/>
        </w:rPr>
        <w:t xml:space="preserve">Viden om </w:t>
      </w:r>
      <w:r w:rsidRPr="00FF12E9">
        <w:rPr>
          <w:lang w:val="da-DK"/>
        </w:rPr>
        <w:t>velfærdsteknologi, digitalisering</w:t>
      </w:r>
      <w:r>
        <w:rPr>
          <w:lang w:val="da-DK"/>
        </w:rPr>
        <w:t xml:space="preserve">, </w:t>
      </w:r>
      <w:r w:rsidR="00CF20DB">
        <w:rPr>
          <w:lang w:val="da-DK"/>
        </w:rPr>
        <w:t>d</w:t>
      </w:r>
      <w:r w:rsidR="00FF60EF">
        <w:rPr>
          <w:lang w:val="da-DK"/>
        </w:rPr>
        <w:t xml:space="preserve">en </w:t>
      </w:r>
      <w:r w:rsidR="009B4298" w:rsidRPr="009B4298">
        <w:rPr>
          <w:lang w:val="da-DK"/>
        </w:rPr>
        <w:t>planlagte nationale it-infrastruktur for sundhedsvæsnet</w:t>
      </w:r>
      <w:r w:rsidR="009B4298" w:rsidRPr="009B4298">
        <w:rPr>
          <w:b/>
          <w:bCs/>
          <w:lang w:val="da-DK"/>
        </w:rPr>
        <w:t xml:space="preserve"> </w:t>
      </w:r>
      <w:r w:rsidR="00D81ACC">
        <w:rPr>
          <w:lang w:val="da-DK"/>
        </w:rPr>
        <w:t xml:space="preserve">og </w:t>
      </w:r>
      <w:proofErr w:type="spellStart"/>
      <w:r w:rsidR="00D81ACC">
        <w:rPr>
          <w:lang w:val="da-DK"/>
        </w:rPr>
        <w:t>MedCom</w:t>
      </w:r>
      <w:proofErr w:type="spellEnd"/>
      <w:r w:rsidR="00D81ACC">
        <w:rPr>
          <w:lang w:val="da-DK"/>
        </w:rPr>
        <w:t>-standarder.</w:t>
      </w:r>
    </w:p>
    <w:p w14:paraId="56A9958B" w14:textId="77777777" w:rsidR="009B4298" w:rsidRDefault="009B4298" w:rsidP="009B429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63"/>
      </w:tblGrid>
      <w:tr w:rsidR="009B4298" w:rsidRPr="00344832" w14:paraId="630E1CD9" w14:textId="77777777">
        <w:trPr>
          <w:trHeight w:val="93"/>
        </w:trPr>
        <w:tc>
          <w:tcPr>
            <w:tcW w:w="5263" w:type="dxa"/>
          </w:tcPr>
          <w:p w14:paraId="42DAE849" w14:textId="77777777" w:rsidR="009B4298" w:rsidRPr="009B4298" w:rsidRDefault="009B4298" w:rsidP="009B4298">
            <w:pPr>
              <w:pStyle w:val="Brdtekst"/>
              <w:spacing w:before="35"/>
              <w:ind w:left="213"/>
              <w:rPr>
                <w:lang w:val="da-DK"/>
              </w:rPr>
            </w:pPr>
            <w:r w:rsidRPr="009B4298">
              <w:rPr>
                <w:lang w:val="da-DK"/>
              </w:rPr>
              <w:t xml:space="preserve"> </w:t>
            </w:r>
          </w:p>
        </w:tc>
      </w:tr>
    </w:tbl>
    <w:p w14:paraId="2F7592FD" w14:textId="77777777" w:rsidR="008D682A" w:rsidRPr="00FF12E9" w:rsidRDefault="00834658">
      <w:pPr>
        <w:pStyle w:val="Overskrift1"/>
        <w:rPr>
          <w:lang w:val="da-DK"/>
        </w:rPr>
      </w:pPr>
      <w:r w:rsidRPr="00FF12E9">
        <w:rPr>
          <w:lang w:val="da-DK"/>
        </w:rPr>
        <w:t>Funktionsperiode</w:t>
      </w:r>
    </w:p>
    <w:p w14:paraId="4C94CBCD" w14:textId="77777777" w:rsidR="008D682A" w:rsidRDefault="00E979E0" w:rsidP="00510A6F">
      <w:pPr>
        <w:pStyle w:val="Brdtekst"/>
        <w:spacing w:before="105" w:line="276" w:lineRule="auto"/>
        <w:ind w:left="213" w:right="321"/>
        <w:rPr>
          <w:lang w:val="da-DK"/>
        </w:rPr>
      </w:pPr>
      <w:r>
        <w:rPr>
          <w:lang w:val="da-DK"/>
        </w:rPr>
        <w:t>Kompetencegrupperne</w:t>
      </w:r>
      <w:r w:rsidR="00834658" w:rsidRPr="00FF12E9">
        <w:rPr>
          <w:lang w:val="da-DK"/>
        </w:rPr>
        <w:t xml:space="preserve"> nedsættes i perioden for Sundhedsaftalen 2019-2023. Det kan af Det Administrative Kontak</w:t>
      </w:r>
      <w:r w:rsidR="00C922D8">
        <w:rPr>
          <w:lang w:val="da-DK"/>
        </w:rPr>
        <w:t>tforum besluttes, hvorvidt en kompetencegruppe</w:t>
      </w:r>
      <w:r w:rsidR="00834658" w:rsidRPr="00FF12E9">
        <w:rPr>
          <w:lang w:val="da-DK"/>
        </w:rPr>
        <w:t xml:space="preserve"> skal ophøre før </w:t>
      </w:r>
      <w:r w:rsidR="00CF20DB">
        <w:rPr>
          <w:lang w:val="da-DK"/>
        </w:rPr>
        <w:t>2023 eller fortsætte efter 2023.</w:t>
      </w:r>
    </w:p>
    <w:p w14:paraId="66EAEE7C" w14:textId="77777777" w:rsidR="00CC3A83" w:rsidRDefault="00CC3A83" w:rsidP="00510A6F">
      <w:pPr>
        <w:pStyle w:val="Brdtekst"/>
        <w:spacing w:before="105" w:line="276" w:lineRule="auto"/>
        <w:ind w:left="213" w:right="321"/>
        <w:rPr>
          <w:lang w:val="da-DK"/>
        </w:rPr>
      </w:pPr>
    </w:p>
    <w:p w14:paraId="5DCBFD89" w14:textId="77777777" w:rsidR="00CC3A83" w:rsidRPr="00FF12E9" w:rsidRDefault="00CC3A83" w:rsidP="00510A6F">
      <w:pPr>
        <w:pStyle w:val="Brdtekst"/>
        <w:spacing w:before="105" w:line="276" w:lineRule="auto"/>
        <w:ind w:left="213" w:right="321"/>
        <w:rPr>
          <w:lang w:val="da-DK"/>
        </w:rPr>
      </w:pPr>
    </w:p>
    <w:sectPr w:rsidR="00CC3A83" w:rsidRPr="00FF12E9">
      <w:footerReference w:type="default" r:id="rId9"/>
      <w:pgSz w:w="11910" w:h="16840"/>
      <w:pgMar w:top="1280" w:right="780" w:bottom="1280" w:left="780" w:header="0" w:footer="10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3755D" w14:textId="77777777" w:rsidR="00CE010A" w:rsidRDefault="00CE010A">
      <w:r>
        <w:separator/>
      </w:r>
    </w:p>
  </w:endnote>
  <w:endnote w:type="continuationSeparator" w:id="0">
    <w:p w14:paraId="3931EE00" w14:textId="77777777" w:rsidR="00CE010A" w:rsidRDefault="00CE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31B14" w14:textId="77777777" w:rsidR="008D682A" w:rsidRDefault="00834658">
    <w:pPr>
      <w:pStyle w:val="Brdtekst"/>
      <w:spacing w:line="14" w:lineRule="auto"/>
    </w:pPr>
    <w:r>
      <w:rPr>
        <w:noProof/>
        <w:lang w:val="da-DK" w:eastAsia="da-DK"/>
      </w:rPr>
      <w:drawing>
        <wp:anchor distT="0" distB="0" distL="0" distR="0" simplePos="0" relativeHeight="268428239" behindDoc="1" locked="0" layoutInCell="1" allowOverlap="1" wp14:anchorId="71516A38" wp14:editId="5B64EBB7">
          <wp:simplePos x="0" y="0"/>
          <wp:positionH relativeFrom="page">
            <wp:posOffset>2850307</wp:posOffset>
          </wp:positionH>
          <wp:positionV relativeFrom="page">
            <wp:posOffset>9877356</wp:posOffset>
          </wp:positionV>
          <wp:extent cx="1845709" cy="638799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5709" cy="638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8085E" w14:textId="77777777" w:rsidR="00CE010A" w:rsidRDefault="00CE010A">
      <w:r>
        <w:separator/>
      </w:r>
    </w:p>
  </w:footnote>
  <w:footnote w:type="continuationSeparator" w:id="0">
    <w:p w14:paraId="3DD32DAB" w14:textId="77777777" w:rsidR="00CE010A" w:rsidRDefault="00CE0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677"/>
    <w:multiLevelType w:val="hybridMultilevel"/>
    <w:tmpl w:val="79A8909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161F78"/>
    <w:multiLevelType w:val="hybridMultilevel"/>
    <w:tmpl w:val="E766FA1A"/>
    <w:lvl w:ilvl="0" w:tplc="0406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>
    <w:nsid w:val="26C45878"/>
    <w:multiLevelType w:val="hybridMultilevel"/>
    <w:tmpl w:val="36E0B58A"/>
    <w:lvl w:ilvl="0" w:tplc="5CB855A6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32313C8E"/>
    <w:multiLevelType w:val="hybridMultilevel"/>
    <w:tmpl w:val="BE38E3E0"/>
    <w:lvl w:ilvl="0" w:tplc="88E428B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F86FCF6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2FFAFF4E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1590B51A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597410EE">
      <w:numFmt w:val="bullet"/>
      <w:lvlText w:val="•"/>
      <w:lvlJc w:val="left"/>
      <w:pPr>
        <w:ind w:left="4702" w:hanging="360"/>
      </w:pPr>
      <w:rPr>
        <w:rFonts w:hint="default"/>
      </w:rPr>
    </w:lvl>
    <w:lvl w:ilvl="5" w:tplc="D4C2BBF6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5E36AFD8"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892CC580">
      <w:numFmt w:val="bullet"/>
      <w:lvlText w:val="•"/>
      <w:lvlJc w:val="left"/>
      <w:pPr>
        <w:ind w:left="7524" w:hanging="360"/>
      </w:pPr>
      <w:rPr>
        <w:rFonts w:hint="default"/>
      </w:rPr>
    </w:lvl>
    <w:lvl w:ilvl="8" w:tplc="7B68C7FA"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4">
    <w:nsid w:val="33D70F8E"/>
    <w:multiLevelType w:val="hybridMultilevel"/>
    <w:tmpl w:val="D3980BE0"/>
    <w:lvl w:ilvl="0" w:tplc="CA0A74EC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818332A"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3EBE9238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D3A4BAC6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F7145FA0">
      <w:numFmt w:val="bullet"/>
      <w:lvlText w:val="•"/>
      <w:lvlJc w:val="left"/>
      <w:pPr>
        <w:ind w:left="4702" w:hanging="360"/>
      </w:pPr>
      <w:rPr>
        <w:rFonts w:hint="default"/>
      </w:rPr>
    </w:lvl>
    <w:lvl w:ilvl="5" w:tplc="DAB2973A">
      <w:numFmt w:val="bullet"/>
      <w:lvlText w:val="•"/>
      <w:lvlJc w:val="left"/>
      <w:pPr>
        <w:ind w:left="5643" w:hanging="360"/>
      </w:pPr>
      <w:rPr>
        <w:rFonts w:hint="default"/>
      </w:rPr>
    </w:lvl>
    <w:lvl w:ilvl="6" w:tplc="0B087794">
      <w:numFmt w:val="bullet"/>
      <w:lvlText w:val="•"/>
      <w:lvlJc w:val="left"/>
      <w:pPr>
        <w:ind w:left="6583" w:hanging="360"/>
      </w:pPr>
      <w:rPr>
        <w:rFonts w:hint="default"/>
      </w:rPr>
    </w:lvl>
    <w:lvl w:ilvl="7" w:tplc="08C01958">
      <w:numFmt w:val="bullet"/>
      <w:lvlText w:val="•"/>
      <w:lvlJc w:val="left"/>
      <w:pPr>
        <w:ind w:left="7524" w:hanging="360"/>
      </w:pPr>
      <w:rPr>
        <w:rFonts w:hint="default"/>
      </w:rPr>
    </w:lvl>
    <w:lvl w:ilvl="8" w:tplc="A10A7EF8">
      <w:numFmt w:val="bullet"/>
      <w:lvlText w:val="•"/>
      <w:lvlJc w:val="left"/>
      <w:pPr>
        <w:ind w:left="8464" w:hanging="360"/>
      </w:pPr>
      <w:rPr>
        <w:rFonts w:hint="default"/>
      </w:rPr>
    </w:lvl>
  </w:abstractNum>
  <w:abstractNum w:abstractNumId="5">
    <w:nsid w:val="3611676A"/>
    <w:multiLevelType w:val="hybridMultilevel"/>
    <w:tmpl w:val="B4FCA6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35694"/>
    <w:multiLevelType w:val="hybridMultilevel"/>
    <w:tmpl w:val="EC52C75E"/>
    <w:lvl w:ilvl="0" w:tplc="0406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5D9B565F"/>
    <w:multiLevelType w:val="hybridMultilevel"/>
    <w:tmpl w:val="66346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F6F8E"/>
    <w:multiLevelType w:val="hybridMultilevel"/>
    <w:tmpl w:val="BBFEB386"/>
    <w:lvl w:ilvl="0" w:tplc="C80C21D4">
      <w:numFmt w:val="bullet"/>
      <w:lvlText w:val="–"/>
      <w:lvlJc w:val="left"/>
      <w:pPr>
        <w:ind w:left="46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CB4742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394EDAD2">
      <w:numFmt w:val="bullet"/>
      <w:lvlText w:val="•"/>
      <w:lvlJc w:val="left"/>
      <w:pPr>
        <w:ind w:left="2485" w:hanging="360"/>
      </w:pPr>
      <w:rPr>
        <w:rFonts w:hint="default"/>
      </w:rPr>
    </w:lvl>
    <w:lvl w:ilvl="3" w:tplc="4AECACCA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371EEBDA">
      <w:numFmt w:val="bullet"/>
      <w:lvlText w:val="•"/>
      <w:lvlJc w:val="left"/>
      <w:pPr>
        <w:ind w:left="4375" w:hanging="360"/>
      </w:pPr>
      <w:rPr>
        <w:rFonts w:hint="default"/>
      </w:rPr>
    </w:lvl>
    <w:lvl w:ilvl="5" w:tplc="D2C8E954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D4D46020">
      <w:numFmt w:val="bullet"/>
      <w:lvlText w:val="•"/>
      <w:lvlJc w:val="left"/>
      <w:pPr>
        <w:ind w:left="6265" w:hanging="360"/>
      </w:pPr>
      <w:rPr>
        <w:rFonts w:hint="default"/>
      </w:rPr>
    </w:lvl>
    <w:lvl w:ilvl="7" w:tplc="FFB8F284">
      <w:numFmt w:val="bullet"/>
      <w:lvlText w:val="•"/>
      <w:lvlJc w:val="left"/>
      <w:pPr>
        <w:ind w:left="7210" w:hanging="360"/>
      </w:pPr>
      <w:rPr>
        <w:rFonts w:hint="default"/>
      </w:rPr>
    </w:lvl>
    <w:lvl w:ilvl="8" w:tplc="63EA7C0E">
      <w:numFmt w:val="bullet"/>
      <w:lvlText w:val="•"/>
      <w:lvlJc w:val="left"/>
      <w:pPr>
        <w:ind w:left="8156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inna Kruse Sonnichsen">
    <w15:presenceInfo w15:providerId="AD" w15:userId="S::disks@haderslev.dk::365421f4-10d2-4bc7-a518-d602848b49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2A"/>
    <w:rsid w:val="00035396"/>
    <w:rsid w:val="001138D6"/>
    <w:rsid w:val="00120CCB"/>
    <w:rsid w:val="00133BF1"/>
    <w:rsid w:val="001468B5"/>
    <w:rsid w:val="00197FE4"/>
    <w:rsid w:val="001A5867"/>
    <w:rsid w:val="00247766"/>
    <w:rsid w:val="002F4198"/>
    <w:rsid w:val="003143F6"/>
    <w:rsid w:val="00315680"/>
    <w:rsid w:val="00340F25"/>
    <w:rsid w:val="003445F1"/>
    <w:rsid w:val="00344832"/>
    <w:rsid w:val="00405378"/>
    <w:rsid w:val="004156AB"/>
    <w:rsid w:val="00421723"/>
    <w:rsid w:val="0046117D"/>
    <w:rsid w:val="004F73D0"/>
    <w:rsid w:val="00510A6F"/>
    <w:rsid w:val="00522348"/>
    <w:rsid w:val="00562CE3"/>
    <w:rsid w:val="00571AFC"/>
    <w:rsid w:val="00574490"/>
    <w:rsid w:val="005D4880"/>
    <w:rsid w:val="005D7B5E"/>
    <w:rsid w:val="005E28B1"/>
    <w:rsid w:val="006045FC"/>
    <w:rsid w:val="0061240C"/>
    <w:rsid w:val="00621811"/>
    <w:rsid w:val="006650C5"/>
    <w:rsid w:val="006B67A4"/>
    <w:rsid w:val="006D095F"/>
    <w:rsid w:val="00744A0C"/>
    <w:rsid w:val="00753BCC"/>
    <w:rsid w:val="00775FC8"/>
    <w:rsid w:val="007C6F47"/>
    <w:rsid w:val="007E2414"/>
    <w:rsid w:val="00817965"/>
    <w:rsid w:val="00834658"/>
    <w:rsid w:val="00870FAD"/>
    <w:rsid w:val="008D682A"/>
    <w:rsid w:val="009746C4"/>
    <w:rsid w:val="009B4298"/>
    <w:rsid w:val="009E281E"/>
    <w:rsid w:val="00AC72DB"/>
    <w:rsid w:val="00AD42C8"/>
    <w:rsid w:val="00B01FBC"/>
    <w:rsid w:val="00B13B19"/>
    <w:rsid w:val="00B648B7"/>
    <w:rsid w:val="00B757AC"/>
    <w:rsid w:val="00B81613"/>
    <w:rsid w:val="00BC166C"/>
    <w:rsid w:val="00BC3B04"/>
    <w:rsid w:val="00C119AE"/>
    <w:rsid w:val="00C517D9"/>
    <w:rsid w:val="00C922D8"/>
    <w:rsid w:val="00CB4122"/>
    <w:rsid w:val="00CC3A83"/>
    <w:rsid w:val="00CD7AA2"/>
    <w:rsid w:val="00CE010A"/>
    <w:rsid w:val="00CE1F3D"/>
    <w:rsid w:val="00CF20DB"/>
    <w:rsid w:val="00D300D3"/>
    <w:rsid w:val="00D37CCA"/>
    <w:rsid w:val="00D81ACC"/>
    <w:rsid w:val="00D933B3"/>
    <w:rsid w:val="00DB3EBA"/>
    <w:rsid w:val="00DE4F26"/>
    <w:rsid w:val="00DE6476"/>
    <w:rsid w:val="00DF1357"/>
    <w:rsid w:val="00DF5732"/>
    <w:rsid w:val="00E15681"/>
    <w:rsid w:val="00E27915"/>
    <w:rsid w:val="00E40AE1"/>
    <w:rsid w:val="00E53CB9"/>
    <w:rsid w:val="00E979E0"/>
    <w:rsid w:val="00EC42A6"/>
    <w:rsid w:val="00EE262F"/>
    <w:rsid w:val="00F72E8D"/>
    <w:rsid w:val="00F95AF4"/>
    <w:rsid w:val="00FC1340"/>
    <w:rsid w:val="00FF105F"/>
    <w:rsid w:val="00FF12E9"/>
    <w:rsid w:val="00FF44CA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F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ind w:left="213"/>
      <w:outlineLvl w:val="0"/>
    </w:pPr>
    <w:rPr>
      <w:b/>
      <w:bCs/>
      <w:sz w:val="26"/>
      <w:szCs w:val="26"/>
    </w:rPr>
  </w:style>
  <w:style w:type="paragraph" w:styleId="Overskrift2">
    <w:name w:val="heading 2"/>
    <w:basedOn w:val="Normal"/>
    <w:uiPriority w:val="1"/>
    <w:qFormat/>
    <w:pPr>
      <w:spacing w:before="60"/>
      <w:ind w:left="108"/>
      <w:outlineLvl w:val="1"/>
    </w:pPr>
    <w:rPr>
      <w:b/>
      <w:bCs/>
      <w:sz w:val="20"/>
      <w:szCs w:val="20"/>
    </w:rPr>
  </w:style>
  <w:style w:type="paragraph" w:styleId="Overskrift3">
    <w:name w:val="heading 3"/>
    <w:basedOn w:val="Normal"/>
    <w:uiPriority w:val="1"/>
    <w:qFormat/>
    <w:pPr>
      <w:ind w:left="213"/>
      <w:outlineLvl w:val="2"/>
    </w:pPr>
    <w:rPr>
      <w:b/>
      <w:bCs/>
      <w:i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34"/>
    <w:qFormat/>
    <w:pPr>
      <w:spacing w:before="33"/>
      <w:ind w:left="93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Kommentarhenvisning">
    <w:name w:val="annotation reference"/>
    <w:basedOn w:val="Standardskrifttypeiafsnit"/>
    <w:uiPriority w:val="99"/>
    <w:semiHidden/>
    <w:unhideWhenUsed/>
    <w:rsid w:val="0024776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4776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47766"/>
    <w:rPr>
      <w:rFonts w:ascii="Arial" w:eastAsia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4776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47766"/>
    <w:rPr>
      <w:rFonts w:ascii="Arial" w:eastAsia="Arial" w:hAnsi="Arial" w:cs="Arial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776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776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9B4298"/>
    <w:pPr>
      <w:widowControl/>
      <w:adjustRightInd w:val="0"/>
    </w:pPr>
    <w:rPr>
      <w:rFonts w:ascii="Arial" w:hAnsi="Arial" w:cs="Arial"/>
      <w:color w:val="000000"/>
      <w:sz w:val="24"/>
      <w:szCs w:val="24"/>
      <w:lang w:val="da-DK"/>
    </w:rPr>
  </w:style>
  <w:style w:type="paragraph" w:customStyle="1" w:styleId="arial">
    <w:name w:val="arial"/>
    <w:basedOn w:val="Normal"/>
    <w:rsid w:val="00CC3A83"/>
    <w:pPr>
      <w:widowControl/>
      <w:autoSpaceDE/>
      <w:autoSpaceDN/>
      <w:spacing w:line="336" w:lineRule="auto"/>
    </w:pPr>
    <w:rPr>
      <w:rFonts w:eastAsia="Times New Roman"/>
      <w:b/>
      <w:bCs/>
      <w:color w:val="000000"/>
      <w:sz w:val="18"/>
      <w:szCs w:val="18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ind w:left="213"/>
      <w:outlineLvl w:val="0"/>
    </w:pPr>
    <w:rPr>
      <w:b/>
      <w:bCs/>
      <w:sz w:val="26"/>
      <w:szCs w:val="26"/>
    </w:rPr>
  </w:style>
  <w:style w:type="paragraph" w:styleId="Overskrift2">
    <w:name w:val="heading 2"/>
    <w:basedOn w:val="Normal"/>
    <w:uiPriority w:val="1"/>
    <w:qFormat/>
    <w:pPr>
      <w:spacing w:before="60"/>
      <w:ind w:left="108"/>
      <w:outlineLvl w:val="1"/>
    </w:pPr>
    <w:rPr>
      <w:b/>
      <w:bCs/>
      <w:sz w:val="20"/>
      <w:szCs w:val="20"/>
    </w:rPr>
  </w:style>
  <w:style w:type="paragraph" w:styleId="Overskrift3">
    <w:name w:val="heading 3"/>
    <w:basedOn w:val="Normal"/>
    <w:uiPriority w:val="1"/>
    <w:qFormat/>
    <w:pPr>
      <w:ind w:left="213"/>
      <w:outlineLvl w:val="2"/>
    </w:pPr>
    <w:rPr>
      <w:b/>
      <w:bCs/>
      <w:i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34"/>
    <w:qFormat/>
    <w:pPr>
      <w:spacing w:before="33"/>
      <w:ind w:left="93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Kommentarhenvisning">
    <w:name w:val="annotation reference"/>
    <w:basedOn w:val="Standardskrifttypeiafsnit"/>
    <w:uiPriority w:val="99"/>
    <w:semiHidden/>
    <w:unhideWhenUsed/>
    <w:rsid w:val="0024776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4776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47766"/>
    <w:rPr>
      <w:rFonts w:ascii="Arial" w:eastAsia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4776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47766"/>
    <w:rPr>
      <w:rFonts w:ascii="Arial" w:eastAsia="Arial" w:hAnsi="Arial" w:cs="Arial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4776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776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9B4298"/>
    <w:pPr>
      <w:widowControl/>
      <w:adjustRightInd w:val="0"/>
    </w:pPr>
    <w:rPr>
      <w:rFonts w:ascii="Arial" w:hAnsi="Arial" w:cs="Arial"/>
      <w:color w:val="000000"/>
      <w:sz w:val="24"/>
      <w:szCs w:val="24"/>
      <w:lang w:val="da-DK"/>
    </w:rPr>
  </w:style>
  <w:style w:type="paragraph" w:customStyle="1" w:styleId="arial">
    <w:name w:val="arial"/>
    <w:basedOn w:val="Normal"/>
    <w:rsid w:val="00CC3A83"/>
    <w:pPr>
      <w:widowControl/>
      <w:autoSpaceDE/>
      <w:autoSpaceDN/>
      <w:spacing w:line="336" w:lineRule="auto"/>
    </w:pPr>
    <w:rPr>
      <w:rFonts w:eastAsia="Times New Roman"/>
      <w:b/>
      <w:bCs/>
      <w:color w:val="000000"/>
      <w:sz w:val="18"/>
      <w:szCs w:val="18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4F8B-1CF3-49A7-9E7B-182177FF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Kommissorium og forretningsorden for Det administrative Kontaktforum (DAK)</vt:lpstr>
    </vt:vector>
  </TitlesOfParts>
  <Company>Region Syddanmark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Kommissorium og forretningsorden for Det administrative Kontaktforum (DAK)</dc:title>
  <dc:creator>Anders Vestergaard Fournaise</dc:creator>
  <cp:lastModifiedBy>Christine Lund Momme</cp:lastModifiedBy>
  <cp:revision>3</cp:revision>
  <cp:lastPrinted>2019-10-18T12:05:00Z</cp:lastPrinted>
  <dcterms:created xsi:type="dcterms:W3CDTF">2019-10-30T14:26:00Z</dcterms:created>
  <dcterms:modified xsi:type="dcterms:W3CDTF">2019-10-30T15:03:00Z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2019-10-17T00:00:00Z</vt:filetime>
  </property>
  <property fmtid="{D5CDD505-2E9C-101B-9397-08002B2CF9AE}" pid="5" name="OfficeInstanceGUID">
    <vt:lpwstr>{BFBCBB4E-10E8-413E-93AC-930FCDF8760C}</vt:lpwstr>
  </property>
</Properties>
</file>