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29" w:rsidRPr="00094C29" w:rsidRDefault="00C923E4" w:rsidP="00C923E4">
      <w:pPr>
        <w:jc w:val="center"/>
        <w:rPr>
          <w:b/>
          <w:sz w:val="32"/>
        </w:rPr>
      </w:pPr>
      <w:bookmarkStart w:id="0" w:name="_GoBack"/>
      <w:bookmarkEnd w:id="0"/>
      <w:r w:rsidRPr="00094C29">
        <w:rPr>
          <w:b/>
          <w:sz w:val="32"/>
        </w:rPr>
        <w:t>Monitorering af a</w:t>
      </w:r>
      <w:r w:rsidR="00094C29">
        <w:rPr>
          <w:b/>
          <w:sz w:val="32"/>
        </w:rPr>
        <w:t xml:space="preserve">nvendelsen af samarbejdsaftalen </w:t>
      </w:r>
      <w:r w:rsidRPr="00094C29">
        <w:rPr>
          <w:b/>
          <w:sz w:val="32"/>
        </w:rPr>
        <w:t xml:space="preserve">for </w:t>
      </w:r>
    </w:p>
    <w:p w:rsidR="005E3342" w:rsidRPr="00094C29" w:rsidRDefault="00C923E4" w:rsidP="00C923E4">
      <w:pPr>
        <w:jc w:val="center"/>
        <w:rPr>
          <w:b/>
          <w:sz w:val="32"/>
        </w:rPr>
      </w:pPr>
      <w:r w:rsidRPr="00094C29">
        <w:rPr>
          <w:b/>
          <w:sz w:val="32"/>
        </w:rPr>
        <w:t xml:space="preserve">IV-behandling </w:t>
      </w:r>
      <w:r w:rsidR="008B7A87" w:rsidRPr="00094C29">
        <w:rPr>
          <w:b/>
          <w:sz w:val="32"/>
        </w:rPr>
        <w:t xml:space="preserve">med antibiotika </w:t>
      </w:r>
      <w:r w:rsidRPr="00094C29">
        <w:rPr>
          <w:b/>
          <w:sz w:val="32"/>
        </w:rPr>
        <w:t>i kommunale akutfunktioner</w:t>
      </w:r>
    </w:p>
    <w:p w:rsidR="008E40AD" w:rsidRDefault="008E40AD" w:rsidP="008E40AD"/>
    <w:p w:rsidR="008E40AD" w:rsidRDefault="008E40AD" w:rsidP="008E40AD">
      <w:r>
        <w:t>Sundhedskoordinationsudvalget godkendt</w:t>
      </w:r>
      <w:r w:rsidR="008A0334">
        <w:t>e</w:t>
      </w:r>
      <w:r>
        <w:t xml:space="preserve"> den 31. oktober 2017 en samarbejdsaftale om IV-behandling med antibiotika. </w:t>
      </w:r>
      <w:r w:rsidR="008A0334">
        <w:t>Samarbejdsaftalen er efterfølgende sendt til implementering</w:t>
      </w:r>
      <w:r w:rsidR="00C029F9">
        <w:t xml:space="preserve"> via de lokale samordningsfora og trådte i kraft den 1. januar 2018.</w:t>
      </w:r>
      <w:r w:rsidR="008A0334">
        <w:t xml:space="preserve"> </w:t>
      </w:r>
    </w:p>
    <w:p w:rsidR="00C029F9" w:rsidRDefault="008E40AD" w:rsidP="008E40AD">
      <w:r>
        <w:t>For løbende at kunne vurdere opgavens omfang, udvikling og det heraf</w:t>
      </w:r>
      <w:r w:rsidR="003816F7">
        <w:t xml:space="preserve"> følgende ressourceforbrug i de</w:t>
      </w:r>
      <w:r>
        <w:t xml:space="preserve"> kommuner</w:t>
      </w:r>
      <w:r w:rsidR="003816F7">
        <w:t>, som har indgået samarbejdsaftalen</w:t>
      </w:r>
      <w:r>
        <w:t>, er det aftalt, at samarbejdsaftalens anvendelse skal monitoreres.</w:t>
      </w:r>
      <w:r w:rsidR="00C029F9">
        <w:t xml:space="preserve"> Det sker ved</w:t>
      </w:r>
      <w:r w:rsidR="008B7A87">
        <w:t>,</w:t>
      </w:r>
      <w:r w:rsidR="00C029F9">
        <w:t xml:space="preserve"> at Følgegruppen for opgaveoverdragelse halvår</w:t>
      </w:r>
      <w:r w:rsidR="003816F7">
        <w:t>ligt indhenter en status fra de</w:t>
      </w:r>
      <w:r w:rsidR="00C029F9">
        <w:t xml:space="preserve"> kommuner</w:t>
      </w:r>
      <w:r w:rsidR="003816F7">
        <w:t>, som har indgået samarbejdsaftalen</w:t>
      </w:r>
      <w:r w:rsidR="008B7A87">
        <w:t>,</w:t>
      </w:r>
      <w:r w:rsidR="00C029F9">
        <w:t xml:space="preserve"> på:</w:t>
      </w:r>
    </w:p>
    <w:p w:rsidR="00C029F9" w:rsidRDefault="00C029F9" w:rsidP="00C029F9">
      <w:pPr>
        <w:pStyle w:val="Listeafsnit"/>
        <w:numPr>
          <w:ilvl w:val="0"/>
          <w:numId w:val="1"/>
        </w:numPr>
      </w:pPr>
      <w:r>
        <w:t>Hvor mange patienter, der har modtaget IV-behandling i eget hjem</w:t>
      </w:r>
    </w:p>
    <w:p w:rsidR="00C415D2" w:rsidRDefault="00C415D2" w:rsidP="00C029F9">
      <w:pPr>
        <w:pStyle w:val="Listeafsnit"/>
        <w:numPr>
          <w:ilvl w:val="0"/>
          <w:numId w:val="1"/>
        </w:numPr>
      </w:pPr>
      <w:r>
        <w:t>Start dato for behandlingen</w:t>
      </w:r>
    </w:p>
    <w:p w:rsidR="00C029F9" w:rsidRDefault="00C029F9" w:rsidP="00C029F9">
      <w:pPr>
        <w:pStyle w:val="Listeafsnit"/>
        <w:numPr>
          <w:ilvl w:val="0"/>
          <w:numId w:val="1"/>
        </w:numPr>
      </w:pPr>
      <w:r>
        <w:t>Behandlingsvarigheden af det enkelte forløb</w:t>
      </w:r>
    </w:p>
    <w:p w:rsidR="00C029F9" w:rsidRDefault="00C029F9" w:rsidP="00C029F9">
      <w:pPr>
        <w:pStyle w:val="Listeafsnit"/>
        <w:numPr>
          <w:ilvl w:val="0"/>
          <w:numId w:val="1"/>
        </w:numPr>
      </w:pPr>
      <w:r>
        <w:t>Hvor mange infusioner patienten har fået per dag</w:t>
      </w:r>
    </w:p>
    <w:p w:rsidR="00C029F9" w:rsidRDefault="00C029F9" w:rsidP="00C029F9">
      <w:pPr>
        <w:pStyle w:val="Listeafsnit"/>
        <w:numPr>
          <w:ilvl w:val="0"/>
          <w:numId w:val="1"/>
        </w:numPr>
      </w:pPr>
      <w:r>
        <w:t>Hvilket sygehus, der har ordineret behandling</w:t>
      </w:r>
    </w:p>
    <w:p w:rsidR="00C029F9" w:rsidRDefault="00C029F9" w:rsidP="00C029F9">
      <w:pPr>
        <w:pStyle w:val="Listeafsnit"/>
        <w:numPr>
          <w:ilvl w:val="0"/>
          <w:numId w:val="1"/>
        </w:numPr>
      </w:pPr>
      <w:r>
        <w:t>Hvilken afdeling på, der har ordineret behandling</w:t>
      </w:r>
    </w:p>
    <w:p w:rsidR="008E40AD" w:rsidRDefault="00C029F9" w:rsidP="00C029F9">
      <w:pPr>
        <w:pStyle w:val="Listeafsnit"/>
        <w:numPr>
          <w:ilvl w:val="0"/>
          <w:numId w:val="1"/>
        </w:numPr>
      </w:pPr>
      <w:r>
        <w:t>Om der har været nogle komplikationer</w:t>
      </w:r>
      <w:r w:rsidR="008E40AD">
        <w:t xml:space="preserve"> </w:t>
      </w:r>
    </w:p>
    <w:p w:rsidR="003816F7" w:rsidRDefault="00CA622C" w:rsidP="008E40AD">
      <w:r>
        <w:t>De indhentede data behandles og drøftes</w:t>
      </w:r>
      <w:r w:rsidR="00070860">
        <w:t xml:space="preserve"> i</w:t>
      </w:r>
      <w:r>
        <w:t xml:space="preserve"> Det Adm</w:t>
      </w:r>
      <w:r w:rsidR="003816F7">
        <w:t>inistrative Kontaktforum og evt.</w:t>
      </w:r>
      <w:r>
        <w:t xml:space="preserve"> Sundhedskoordinationsudvalget,</w:t>
      </w:r>
      <w:r w:rsidR="003816F7">
        <w:t xml:space="preserve"> som</w:t>
      </w:r>
      <w:r>
        <w:t xml:space="preserve"> </w:t>
      </w:r>
      <w:r w:rsidR="003816F7">
        <w:t xml:space="preserve">vurderer om det giver anledning til at justere samarbejdsaftalen. </w:t>
      </w:r>
    </w:p>
    <w:p w:rsidR="008E40AD" w:rsidRDefault="003816F7" w:rsidP="008E40AD">
      <w:r>
        <w:t xml:space="preserve">De syddanske kommuner, som i samarbejde med Region Syddanmarks sygehusenheder tilbyder IV-behandling med antibiotika i eget hjem, anmodes om at anvende nedenstående registreringsark til at monitorere aktiviteten af IV-behandling med antibiotika i eget hjem. </w:t>
      </w:r>
    </w:p>
    <w:p w:rsidR="008E40AD" w:rsidRDefault="008E40AD" w:rsidP="008E40AD"/>
    <w:p w:rsidR="0079087F" w:rsidRDefault="0079087F" w:rsidP="008E40AD">
      <w:r>
        <w:t>Giver ovenstående anledning til spørgsmål kontakt:</w:t>
      </w:r>
    </w:p>
    <w:p w:rsidR="0079087F" w:rsidRDefault="0079087F" w:rsidP="008E40AD"/>
    <w:p w:rsidR="0079087F" w:rsidRPr="0079087F" w:rsidRDefault="0079087F" w:rsidP="008E40AD">
      <w:r w:rsidRPr="0079087F">
        <w:t>Anders Fournaise</w:t>
      </w:r>
      <w:r>
        <w:tab/>
      </w:r>
      <w:r>
        <w:tab/>
      </w:r>
      <w:r>
        <w:tab/>
        <w:t>Allan Vittrup</w:t>
      </w:r>
      <w:r w:rsidRPr="0079087F">
        <w:br/>
        <w:t>Tværsektorielt Samarbejde</w:t>
      </w:r>
      <w:r>
        <w:tab/>
      </w:r>
      <w:r>
        <w:tab/>
      </w:r>
      <w:r>
        <w:tab/>
        <w:t>Sundhedssekretariatet</w:t>
      </w:r>
      <w:r w:rsidRPr="0079087F">
        <w:br/>
      </w:r>
      <w:r>
        <w:t>Region Syddanmark</w:t>
      </w:r>
      <w:r>
        <w:tab/>
      </w:r>
      <w:r>
        <w:tab/>
      </w:r>
      <w:r>
        <w:tab/>
        <w:t>Odense Kommune</w:t>
      </w:r>
      <w:r w:rsidRPr="0079087F">
        <w:br/>
        <w:t>Tlf: 2482 4315</w:t>
      </w:r>
      <w:r>
        <w:tab/>
      </w:r>
      <w:r>
        <w:tab/>
      </w:r>
      <w:r>
        <w:tab/>
      </w:r>
      <w:r>
        <w:tab/>
        <w:t>Tlf: 6551 1199</w:t>
      </w:r>
      <w:r w:rsidRPr="0079087F">
        <w:br/>
        <w:t xml:space="preserve">E-mail: </w:t>
      </w:r>
      <w:hyperlink r:id="rId8" w:history="1">
        <w:r w:rsidRPr="0079087F">
          <w:rPr>
            <w:rStyle w:val="Hyperlink"/>
          </w:rPr>
          <w:t>anders.fournaise@rsyd.dk</w:t>
        </w:r>
      </w:hyperlink>
      <w:r>
        <w:tab/>
      </w:r>
      <w:r>
        <w:tab/>
        <w:t xml:space="preserve">E-mail: </w:t>
      </w:r>
      <w:hyperlink r:id="rId9" w:history="1">
        <w:r w:rsidRPr="00970A65">
          <w:rPr>
            <w:rStyle w:val="Hyperlink"/>
          </w:rPr>
          <w:t>avpe@odense.dk</w:t>
        </w:r>
      </w:hyperlink>
      <w:r>
        <w:t xml:space="preserve"> </w:t>
      </w:r>
    </w:p>
    <w:p w:rsidR="0079087F" w:rsidRPr="0079087F" w:rsidRDefault="0079087F" w:rsidP="008E40AD"/>
    <w:p w:rsidR="003B6F29" w:rsidRPr="0079087F" w:rsidRDefault="003B6F29" w:rsidP="008E40AD"/>
    <w:p w:rsidR="003B6F29" w:rsidRPr="0079087F" w:rsidRDefault="003B6F29" w:rsidP="008E40AD"/>
    <w:p w:rsidR="00070860" w:rsidRDefault="00070860" w:rsidP="008E40AD">
      <w:pPr>
        <w:sectPr w:rsidR="00070860" w:rsidSect="00465782">
          <w:headerReference w:type="default" r:id="rId10"/>
          <w:footerReference w:type="default" r:id="rId11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3B6F29" w:rsidRPr="0079087F" w:rsidRDefault="003B6F29" w:rsidP="008E40AD"/>
    <w:tbl>
      <w:tblPr>
        <w:tblStyle w:val="Tabel-Gitter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3B6F29" w:rsidRPr="0017746F" w:rsidTr="00C47FBA">
        <w:tc>
          <w:tcPr>
            <w:tcW w:w="15021" w:type="dxa"/>
            <w:shd w:val="clear" w:color="auto" w:fill="B8CCE4" w:themeFill="accent1" w:themeFillTint="66"/>
            <w:vAlign w:val="bottom"/>
          </w:tcPr>
          <w:p w:rsidR="003B6F29" w:rsidRPr="00465782" w:rsidRDefault="003B6F29" w:rsidP="00C029F9">
            <w:pPr>
              <w:rPr>
                <w:sz w:val="28"/>
              </w:rPr>
            </w:pPr>
            <w:r w:rsidRPr="00465782">
              <w:rPr>
                <w:b/>
                <w:sz w:val="28"/>
              </w:rPr>
              <w:t>Anvendelse af samarbejdsaftale om IV-behandling med antibiotika i kommunale akutfunktioner</w:t>
            </w:r>
          </w:p>
          <w:p w:rsidR="003B6F29" w:rsidRPr="0017746F" w:rsidRDefault="003B6F29" w:rsidP="00C029F9">
            <w:pPr>
              <w:jc w:val="center"/>
              <w:rPr>
                <w:b/>
              </w:rPr>
            </w:pPr>
          </w:p>
        </w:tc>
      </w:tr>
      <w:tr w:rsidR="003B6F29" w:rsidRPr="00465782" w:rsidTr="00C47FBA">
        <w:tc>
          <w:tcPr>
            <w:tcW w:w="15021" w:type="dxa"/>
            <w:vAlign w:val="bottom"/>
          </w:tcPr>
          <w:p w:rsidR="003B6F29" w:rsidRDefault="003B6F29" w:rsidP="00C029F9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Kommune:</w:t>
            </w:r>
          </w:p>
          <w:p w:rsidR="003B6F29" w:rsidRPr="00465782" w:rsidRDefault="003B6F29" w:rsidP="00C029F9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="003B6F29" w:rsidRDefault="003B6F29" w:rsidP="008E40AD">
      <w:pPr>
        <w:rPr>
          <w:b/>
        </w:rPr>
      </w:pPr>
    </w:p>
    <w:tbl>
      <w:tblPr>
        <w:tblStyle w:val="Tabel-Gitter"/>
        <w:tblW w:w="15614" w:type="dxa"/>
        <w:tblLook w:val="04A0" w:firstRow="1" w:lastRow="0" w:firstColumn="1" w:lastColumn="0" w:noHBand="0" w:noVBand="1"/>
      </w:tblPr>
      <w:tblGrid>
        <w:gridCol w:w="1539"/>
        <w:gridCol w:w="1119"/>
        <w:gridCol w:w="2128"/>
        <w:gridCol w:w="1559"/>
        <w:gridCol w:w="2410"/>
        <w:gridCol w:w="2552"/>
        <w:gridCol w:w="4307"/>
      </w:tblGrid>
      <w:tr w:rsidR="0008550D" w:rsidTr="0008550D">
        <w:trPr>
          <w:tblHeader/>
        </w:trPr>
        <w:tc>
          <w:tcPr>
            <w:tcW w:w="0" w:type="auto"/>
            <w:vAlign w:val="bottom"/>
          </w:tcPr>
          <w:p w:rsidR="0008550D" w:rsidRPr="0017746F" w:rsidRDefault="0008550D" w:rsidP="0017746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746F">
              <w:rPr>
                <w:rFonts w:ascii="Calibri" w:hAnsi="Calibri"/>
                <w:b/>
                <w:color w:val="000000"/>
              </w:rPr>
              <w:t>Patienter</w:t>
            </w:r>
          </w:p>
          <w:p w:rsidR="0008550D" w:rsidRPr="0017746F" w:rsidRDefault="0008550D" w:rsidP="0017746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7746F">
              <w:rPr>
                <w:rFonts w:ascii="Calibri" w:hAnsi="Calibri"/>
                <w:b/>
                <w:color w:val="000000"/>
              </w:rPr>
              <w:t>(løbenummer)</w:t>
            </w:r>
          </w:p>
        </w:tc>
        <w:tc>
          <w:tcPr>
            <w:tcW w:w="1119" w:type="dxa"/>
          </w:tcPr>
          <w:p w:rsidR="0008550D" w:rsidRPr="0017746F" w:rsidRDefault="0008550D" w:rsidP="0017746F">
            <w:pPr>
              <w:jc w:val="center"/>
              <w:rPr>
                <w:b/>
              </w:rPr>
            </w:pPr>
            <w:r>
              <w:rPr>
                <w:b/>
              </w:rPr>
              <w:t>Dato start</w:t>
            </w:r>
          </w:p>
        </w:tc>
        <w:tc>
          <w:tcPr>
            <w:tcW w:w="2128" w:type="dxa"/>
          </w:tcPr>
          <w:p w:rsidR="0008550D" w:rsidRDefault="0008550D" w:rsidP="0017746F">
            <w:pPr>
              <w:jc w:val="center"/>
              <w:rPr>
                <w:b/>
              </w:rPr>
            </w:pPr>
            <w:r w:rsidRPr="0017746F">
              <w:rPr>
                <w:b/>
              </w:rPr>
              <w:t xml:space="preserve">Behandlingsvarighed </w:t>
            </w:r>
          </w:p>
          <w:p w:rsidR="0008550D" w:rsidRPr="0017746F" w:rsidRDefault="0008550D" w:rsidP="0017746F">
            <w:pPr>
              <w:jc w:val="center"/>
              <w:rPr>
                <w:b/>
              </w:rPr>
            </w:pPr>
            <w:r w:rsidRPr="0017746F">
              <w:rPr>
                <w:b/>
              </w:rPr>
              <w:t>(dage)</w:t>
            </w:r>
          </w:p>
        </w:tc>
        <w:tc>
          <w:tcPr>
            <w:tcW w:w="1559" w:type="dxa"/>
          </w:tcPr>
          <w:p w:rsidR="0008550D" w:rsidRPr="0017746F" w:rsidRDefault="0008550D" w:rsidP="0017746F">
            <w:pPr>
              <w:jc w:val="center"/>
              <w:rPr>
                <w:b/>
              </w:rPr>
            </w:pPr>
            <w:r w:rsidRPr="0017746F">
              <w:rPr>
                <w:b/>
              </w:rPr>
              <w:t xml:space="preserve">Infusioner per dag </w:t>
            </w:r>
          </w:p>
        </w:tc>
        <w:tc>
          <w:tcPr>
            <w:tcW w:w="2410" w:type="dxa"/>
          </w:tcPr>
          <w:p w:rsidR="0008550D" w:rsidRPr="0017746F" w:rsidRDefault="0008550D" w:rsidP="0017746F">
            <w:pPr>
              <w:jc w:val="center"/>
              <w:rPr>
                <w:b/>
              </w:rPr>
            </w:pPr>
            <w:r w:rsidRPr="0017746F">
              <w:rPr>
                <w:b/>
              </w:rPr>
              <w:t>Ordinerende sygehus</w:t>
            </w:r>
          </w:p>
        </w:tc>
        <w:tc>
          <w:tcPr>
            <w:tcW w:w="2552" w:type="dxa"/>
          </w:tcPr>
          <w:p w:rsidR="0008550D" w:rsidRPr="0017746F" w:rsidRDefault="0008550D" w:rsidP="0017746F">
            <w:pPr>
              <w:jc w:val="center"/>
              <w:rPr>
                <w:b/>
              </w:rPr>
            </w:pPr>
            <w:r w:rsidRPr="0017746F">
              <w:rPr>
                <w:b/>
              </w:rPr>
              <w:t>Ordinerende afdeling</w:t>
            </w:r>
          </w:p>
        </w:tc>
        <w:tc>
          <w:tcPr>
            <w:tcW w:w="4307" w:type="dxa"/>
          </w:tcPr>
          <w:p w:rsidR="0008550D" w:rsidRDefault="0008550D" w:rsidP="0017746F">
            <w:pPr>
              <w:jc w:val="center"/>
              <w:rPr>
                <w:b/>
              </w:rPr>
            </w:pPr>
            <w:r>
              <w:rPr>
                <w:b/>
              </w:rPr>
              <w:t xml:space="preserve">Beskrivelse af eventuelle </w:t>
            </w:r>
          </w:p>
          <w:p w:rsidR="0008550D" w:rsidRPr="0017746F" w:rsidRDefault="0008550D" w:rsidP="0017746F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17746F">
              <w:rPr>
                <w:b/>
              </w:rPr>
              <w:t xml:space="preserve">omplikationer </w:t>
            </w:r>
          </w:p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304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305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  <w:tc>
          <w:tcPr>
            <w:tcW w:w="1119" w:type="dxa"/>
          </w:tcPr>
          <w:p w:rsidR="0008550D" w:rsidRDefault="0008550D" w:rsidP="003816F7">
            <w:pPr>
              <w:jc w:val="center"/>
            </w:pPr>
          </w:p>
        </w:tc>
        <w:tc>
          <w:tcPr>
            <w:tcW w:w="2128" w:type="dxa"/>
          </w:tcPr>
          <w:p w:rsidR="0008550D" w:rsidRDefault="0008550D" w:rsidP="003816F7">
            <w:pPr>
              <w:jc w:val="center"/>
            </w:pPr>
          </w:p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  <w:tr w:rsidR="0008550D" w:rsidTr="0008550D">
        <w:tc>
          <w:tcPr>
            <w:tcW w:w="0" w:type="auto"/>
            <w:vAlign w:val="bottom"/>
          </w:tcPr>
          <w:p w:rsidR="0008550D" w:rsidRDefault="0008550D" w:rsidP="001774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</w:t>
            </w:r>
          </w:p>
        </w:tc>
        <w:tc>
          <w:tcPr>
            <w:tcW w:w="1119" w:type="dxa"/>
          </w:tcPr>
          <w:p w:rsidR="0008550D" w:rsidRDefault="0008550D" w:rsidP="008E40AD"/>
        </w:tc>
        <w:tc>
          <w:tcPr>
            <w:tcW w:w="2128" w:type="dxa"/>
          </w:tcPr>
          <w:p w:rsidR="0008550D" w:rsidRDefault="0008550D" w:rsidP="008E40AD"/>
        </w:tc>
        <w:tc>
          <w:tcPr>
            <w:tcW w:w="1559" w:type="dxa"/>
          </w:tcPr>
          <w:p w:rsidR="0008550D" w:rsidRDefault="0008550D" w:rsidP="008E40AD"/>
        </w:tc>
        <w:tc>
          <w:tcPr>
            <w:tcW w:w="2410" w:type="dxa"/>
          </w:tcPr>
          <w:p w:rsidR="0008550D" w:rsidRDefault="0008550D" w:rsidP="008E40AD"/>
        </w:tc>
        <w:tc>
          <w:tcPr>
            <w:tcW w:w="2552" w:type="dxa"/>
          </w:tcPr>
          <w:p w:rsidR="0008550D" w:rsidRDefault="0008550D" w:rsidP="008E40AD"/>
        </w:tc>
        <w:tc>
          <w:tcPr>
            <w:tcW w:w="4307" w:type="dxa"/>
          </w:tcPr>
          <w:p w:rsidR="0008550D" w:rsidRDefault="0008550D" w:rsidP="008E40AD"/>
        </w:tc>
      </w:tr>
    </w:tbl>
    <w:p w:rsidR="008E40AD" w:rsidRPr="008E40AD" w:rsidRDefault="008E40AD" w:rsidP="00774518"/>
    <w:sectPr w:rsidR="008E40AD" w:rsidRPr="008E40AD" w:rsidSect="00C47F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B2" w:rsidRDefault="009059B2" w:rsidP="00465782">
      <w:pPr>
        <w:spacing w:after="0" w:line="240" w:lineRule="auto"/>
      </w:pPr>
      <w:r>
        <w:separator/>
      </w:r>
    </w:p>
  </w:endnote>
  <w:endnote w:type="continuationSeparator" w:id="0">
    <w:p w:rsidR="009059B2" w:rsidRDefault="009059B2" w:rsidP="0046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627419"/>
      <w:docPartObj>
        <w:docPartGallery w:val="Page Numbers (Bottom of Page)"/>
        <w:docPartUnique/>
      </w:docPartObj>
    </w:sdtPr>
    <w:sdtEndPr/>
    <w:sdtContent>
      <w:p w:rsidR="00C47FBA" w:rsidRDefault="00C47FB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22">
          <w:rPr>
            <w:noProof/>
          </w:rPr>
          <w:t>1</w:t>
        </w:r>
        <w:r>
          <w:fldChar w:fldCharType="end"/>
        </w:r>
      </w:p>
    </w:sdtContent>
  </w:sdt>
  <w:p w:rsidR="00C47FBA" w:rsidRDefault="00C47FB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B2" w:rsidRDefault="009059B2" w:rsidP="00465782">
      <w:pPr>
        <w:spacing w:after="0" w:line="240" w:lineRule="auto"/>
      </w:pPr>
      <w:r>
        <w:separator/>
      </w:r>
    </w:p>
  </w:footnote>
  <w:footnote w:type="continuationSeparator" w:id="0">
    <w:p w:rsidR="009059B2" w:rsidRDefault="009059B2" w:rsidP="0046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9B2" w:rsidRDefault="009059B2">
    <w:pPr>
      <w:pStyle w:val="Sidehoved"/>
    </w:pPr>
    <w:r>
      <w:rPr>
        <w:noProof/>
        <w:sz w:val="32"/>
        <w:lang w:eastAsia="da-DK"/>
      </w:rPr>
      <w:drawing>
        <wp:anchor distT="0" distB="0" distL="114300" distR="114300" simplePos="0" relativeHeight="251659264" behindDoc="1" locked="0" layoutInCell="1" allowOverlap="1" wp14:anchorId="72E02823" wp14:editId="1C70CC51">
          <wp:simplePos x="0" y="0"/>
          <wp:positionH relativeFrom="column">
            <wp:posOffset>8532495</wp:posOffset>
          </wp:positionH>
          <wp:positionV relativeFrom="paragraph">
            <wp:posOffset>-274320</wp:posOffset>
          </wp:positionV>
          <wp:extent cx="768096" cy="652257"/>
          <wp:effectExtent l="0" t="0" r="0" b="0"/>
          <wp:wrapNone/>
          <wp:docPr id="1" name="Billede 1" descr="X:\Regionshuset\Tværsektorielt samarbejde\Anders F\Undervisning\Billeder og figurer\Logo--Kommunesamarbej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Regionshuset\Tværsektorielt samarbejde\Anders F\Undervisning\Billeder og figurer\Logo--Kommunesamarbejd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" cy="652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9B2" w:rsidRDefault="009059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B42DF"/>
    <w:multiLevelType w:val="hybridMultilevel"/>
    <w:tmpl w:val="0F5C7724"/>
    <w:lvl w:ilvl="0" w:tplc="087E1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8B"/>
    <w:rsid w:val="00070860"/>
    <w:rsid w:val="0008550D"/>
    <w:rsid w:val="00094C29"/>
    <w:rsid w:val="0017746F"/>
    <w:rsid w:val="002146E1"/>
    <w:rsid w:val="003816F7"/>
    <w:rsid w:val="003B6F29"/>
    <w:rsid w:val="00465782"/>
    <w:rsid w:val="005E3342"/>
    <w:rsid w:val="0060536A"/>
    <w:rsid w:val="006325D3"/>
    <w:rsid w:val="006C21BA"/>
    <w:rsid w:val="00774518"/>
    <w:rsid w:val="0079087F"/>
    <w:rsid w:val="007F0E8B"/>
    <w:rsid w:val="008A0334"/>
    <w:rsid w:val="008B7A87"/>
    <w:rsid w:val="008E40AD"/>
    <w:rsid w:val="009059B2"/>
    <w:rsid w:val="00C029F9"/>
    <w:rsid w:val="00C415D2"/>
    <w:rsid w:val="00C47FBA"/>
    <w:rsid w:val="00C923E4"/>
    <w:rsid w:val="00CA622C"/>
    <w:rsid w:val="00D57F22"/>
    <w:rsid w:val="00E201E2"/>
    <w:rsid w:val="00E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59803-CF6F-47C9-8BD1-0391AE3D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E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746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6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5782"/>
  </w:style>
  <w:style w:type="paragraph" w:styleId="Sidefod">
    <w:name w:val="footer"/>
    <w:basedOn w:val="Normal"/>
    <w:link w:val="SidefodTegn"/>
    <w:uiPriority w:val="99"/>
    <w:unhideWhenUsed/>
    <w:rsid w:val="004657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5782"/>
  </w:style>
  <w:style w:type="paragraph" w:styleId="Listeafsnit">
    <w:name w:val="List Paragraph"/>
    <w:basedOn w:val="Normal"/>
    <w:uiPriority w:val="34"/>
    <w:qFormat/>
    <w:rsid w:val="00C029F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90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fournaise@rsyd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pe@odens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0664-C9A1-4F97-9FC6-8625D6E8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9C228211</Template>
  <TotalTime>0</TotalTime>
  <Pages>12</Pages>
  <Words>761</Words>
  <Characters>4649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Vestergaard Fournaise</dc:creator>
  <cp:lastModifiedBy>Cæcilie Lumby</cp:lastModifiedBy>
  <cp:revision>2</cp:revision>
  <dcterms:created xsi:type="dcterms:W3CDTF">2018-02-08T15:28:00Z</dcterms:created>
  <dcterms:modified xsi:type="dcterms:W3CDTF">2018-02-08T15:28:00Z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{495747BA-785F-4926-8E33-2251BF8F07AF}</vt:lpwstr>
  </property>
</Properties>
</file>