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BC7FA" w14:textId="77777777" w:rsidR="009B5FA5" w:rsidRDefault="003F45A4" w:rsidP="003F45A4">
      <w:pPr>
        <w:pStyle w:val="Overskrift1"/>
        <w:rPr>
          <w:b/>
        </w:rPr>
      </w:pPr>
      <w:r w:rsidRPr="003F45A4">
        <w:rPr>
          <w:b/>
        </w:rPr>
        <w:t>Kommunale input til den kommende sundhedsaftale for 2019-2022</w:t>
      </w:r>
    </w:p>
    <w:p w14:paraId="41A6C5B7" w14:textId="77777777" w:rsidR="00905DB3" w:rsidRDefault="00905DB3" w:rsidP="003F45A4"/>
    <w:p w14:paraId="35FBE34F" w14:textId="77777777" w:rsidR="003F45A4" w:rsidRPr="003F45A4" w:rsidRDefault="003F45A4" w:rsidP="003F45A4">
      <w:pPr>
        <w:pStyle w:val="Overskrift2"/>
        <w:rPr>
          <w:b/>
        </w:rPr>
      </w:pPr>
      <w:r w:rsidRPr="003F45A4">
        <w:rPr>
          <w:b/>
        </w:rPr>
        <w:t xml:space="preserve">Baggrund </w:t>
      </w:r>
    </w:p>
    <w:p w14:paraId="1B4C21C5" w14:textId="69DA312E" w:rsidR="00600687" w:rsidRDefault="002C307C" w:rsidP="003F45A4">
      <w:r>
        <w:t xml:space="preserve">Sundhedsaftalen er en aftale, </w:t>
      </w:r>
      <w:r w:rsidR="00905DB3">
        <w:t>der</w:t>
      </w:r>
      <w:r w:rsidR="0079716F">
        <w:t xml:space="preserve"> iht. Sundhedslovens §</w:t>
      </w:r>
      <w:r w:rsidR="00A35E18">
        <w:t xml:space="preserve"> </w:t>
      </w:r>
      <w:r w:rsidR="0079716F">
        <w:t xml:space="preserve">205 </w:t>
      </w:r>
      <w:r>
        <w:t>indgås mellem regionsrådet og kommunalbestyrelserne i regionen</w:t>
      </w:r>
      <w:r w:rsidR="0079716F">
        <w:t xml:space="preserve">. Aftalen </w:t>
      </w:r>
      <w:r>
        <w:t>fastsætte</w:t>
      </w:r>
      <w:r w:rsidR="0079716F">
        <w:t>r</w:t>
      </w:r>
      <w:r>
        <w:t xml:space="preserve"> </w:t>
      </w:r>
      <w:r w:rsidR="0079716F">
        <w:t xml:space="preserve">for en fireårig periode </w:t>
      </w:r>
      <w:r>
        <w:t>rammer og målsætninger for samarbejdet mellem</w:t>
      </w:r>
      <w:r w:rsidR="0079716F">
        <w:t xml:space="preserve"> kommuner, region og praksissektoren, herunder specielt almen praksis.</w:t>
      </w:r>
      <w:r>
        <w:t xml:space="preserve"> </w:t>
      </w:r>
      <w:r w:rsidR="0079716F">
        <w:t xml:space="preserve">Aftalen dækker </w:t>
      </w:r>
      <w:r>
        <w:t>de områder</w:t>
      </w:r>
      <w:r w:rsidR="00BC78F2">
        <w:t>,</w:t>
      </w:r>
      <w:r>
        <w:t xml:space="preserve"> eller de målgrupper, som </w:t>
      </w:r>
      <w:r w:rsidR="0079716F">
        <w:t xml:space="preserve">Sundhedskoordinationsudvalget </w:t>
      </w:r>
      <w:r>
        <w:t>beslutter at indgå aftaler om. Den nuværende sundhedsaftale</w:t>
      </w:r>
      <w:r w:rsidR="0079716F">
        <w:t xml:space="preserve"> for 2015-2018</w:t>
      </w:r>
      <w:r>
        <w:t xml:space="preserve"> er gældende frem </w:t>
      </w:r>
      <w:r w:rsidR="00797B1C">
        <w:t xml:space="preserve">til den nye aftale træder i kraft den 1. september 2019. </w:t>
      </w:r>
      <w:r>
        <w:t xml:space="preserve"> </w:t>
      </w:r>
      <w:r w:rsidR="0079716F">
        <w:t>Udviklingen af den</w:t>
      </w:r>
      <w:r w:rsidR="00600687">
        <w:t xml:space="preserve"> ny sundhedsaftale</w:t>
      </w:r>
      <w:r w:rsidR="0079716F">
        <w:t xml:space="preserve"> for perioden 2019-2022</w:t>
      </w:r>
      <w:r w:rsidR="00600687">
        <w:t xml:space="preserve"> indledes på et politisk opstartsmøde</w:t>
      </w:r>
      <w:r w:rsidR="00D23555">
        <w:t xml:space="preserve"> den 24. april 2018</w:t>
      </w:r>
      <w:r w:rsidR="0079716F">
        <w:t>, som Sundhedskoordinationsudvalget er vært for. Her skal regionale og kommunale politikere sammen skabe input til politiske visioner og målsætninger for den kommende aftaleperiode.</w:t>
      </w:r>
      <w:r w:rsidR="00600687">
        <w:t xml:space="preserve"> </w:t>
      </w:r>
    </w:p>
    <w:p w14:paraId="52B854C3" w14:textId="630D82F9" w:rsidR="00030790" w:rsidRDefault="002C307C" w:rsidP="002C307C">
      <w:r>
        <w:t>S</w:t>
      </w:r>
      <w:r w:rsidR="00504A38">
        <w:t>undhedskoordi</w:t>
      </w:r>
      <w:r>
        <w:t xml:space="preserve">nationsudvalget </w:t>
      </w:r>
      <w:r w:rsidR="00504A38">
        <w:t xml:space="preserve">består af </w:t>
      </w:r>
      <w:r w:rsidR="00030790">
        <w:t>følgende</w:t>
      </w:r>
      <w:r w:rsidR="00A35E18">
        <w:t xml:space="preserve"> medlemmer</w:t>
      </w:r>
      <w:r w:rsidR="00030790">
        <w:t xml:space="preserve">: </w:t>
      </w:r>
    </w:p>
    <w:p w14:paraId="0498A0A6" w14:textId="729D92E4" w:rsidR="00905DB3" w:rsidRDefault="00A35E18" w:rsidP="002C307C">
      <w:r>
        <w:t>Udpeget af KKR Syddanmark</w:t>
      </w:r>
      <w:r w:rsidR="00905DB3">
        <w:t>:</w:t>
      </w:r>
    </w:p>
    <w:p w14:paraId="6E57B1AE" w14:textId="77777777" w:rsidR="00905DB3" w:rsidRPr="00905DB3" w:rsidRDefault="00905DB3" w:rsidP="00905DB3">
      <w:pPr>
        <w:pStyle w:val="Default"/>
        <w:numPr>
          <w:ilvl w:val="0"/>
          <w:numId w:val="9"/>
        </w:numPr>
        <w:rPr>
          <w:rFonts w:asciiTheme="minorHAnsi" w:hAnsiTheme="minorHAnsi" w:cstheme="minorHAnsi"/>
          <w:sz w:val="22"/>
          <w:szCs w:val="20"/>
        </w:rPr>
      </w:pPr>
      <w:r w:rsidRPr="00905DB3">
        <w:rPr>
          <w:rFonts w:asciiTheme="minorHAnsi" w:hAnsiTheme="minorHAnsi" w:cstheme="minorHAnsi"/>
          <w:sz w:val="22"/>
          <w:szCs w:val="20"/>
        </w:rPr>
        <w:t xml:space="preserve">Henning Ravn, V, Esbjerg Kommune (næstformand) </w:t>
      </w:r>
    </w:p>
    <w:p w14:paraId="354854F3" w14:textId="77777777" w:rsidR="00905DB3" w:rsidRPr="00905DB3" w:rsidRDefault="00905DB3" w:rsidP="00905DB3">
      <w:pPr>
        <w:pStyle w:val="Default"/>
        <w:numPr>
          <w:ilvl w:val="0"/>
          <w:numId w:val="9"/>
        </w:numPr>
        <w:rPr>
          <w:rFonts w:asciiTheme="minorHAnsi" w:hAnsiTheme="minorHAnsi" w:cstheme="minorHAnsi"/>
          <w:sz w:val="22"/>
          <w:szCs w:val="20"/>
        </w:rPr>
      </w:pPr>
      <w:r w:rsidRPr="00905DB3">
        <w:rPr>
          <w:rFonts w:asciiTheme="minorHAnsi" w:hAnsiTheme="minorHAnsi" w:cstheme="minorHAnsi"/>
          <w:sz w:val="22"/>
          <w:szCs w:val="20"/>
        </w:rPr>
        <w:t xml:space="preserve">Herdis Hanghøj, V, Faaborg-Midtfyn Kommune </w:t>
      </w:r>
    </w:p>
    <w:p w14:paraId="32EFC81E" w14:textId="77777777" w:rsidR="00905DB3" w:rsidRPr="00905DB3" w:rsidRDefault="00905DB3" w:rsidP="00905DB3">
      <w:pPr>
        <w:pStyle w:val="Default"/>
        <w:numPr>
          <w:ilvl w:val="0"/>
          <w:numId w:val="9"/>
        </w:numPr>
        <w:rPr>
          <w:rFonts w:asciiTheme="minorHAnsi" w:hAnsiTheme="minorHAnsi" w:cstheme="minorHAnsi"/>
          <w:sz w:val="22"/>
          <w:szCs w:val="20"/>
        </w:rPr>
      </w:pPr>
      <w:r w:rsidRPr="00905DB3">
        <w:rPr>
          <w:rFonts w:asciiTheme="minorHAnsi" w:hAnsiTheme="minorHAnsi" w:cstheme="minorHAnsi"/>
          <w:sz w:val="22"/>
          <w:szCs w:val="20"/>
        </w:rPr>
        <w:t xml:space="preserve">Anni B. Tyrrestrup, O, Middelfart Kommune </w:t>
      </w:r>
    </w:p>
    <w:p w14:paraId="33DCF892" w14:textId="77777777" w:rsidR="00905DB3" w:rsidRPr="00905DB3" w:rsidRDefault="00905DB3" w:rsidP="00905DB3">
      <w:pPr>
        <w:pStyle w:val="Default"/>
        <w:numPr>
          <w:ilvl w:val="0"/>
          <w:numId w:val="9"/>
        </w:numPr>
        <w:rPr>
          <w:rFonts w:asciiTheme="minorHAnsi" w:hAnsiTheme="minorHAnsi" w:cstheme="minorHAnsi"/>
          <w:sz w:val="22"/>
          <w:szCs w:val="20"/>
        </w:rPr>
      </w:pPr>
      <w:r w:rsidRPr="00905DB3">
        <w:rPr>
          <w:rFonts w:asciiTheme="minorHAnsi" w:hAnsiTheme="minorHAnsi" w:cstheme="minorHAnsi"/>
          <w:sz w:val="22"/>
          <w:szCs w:val="20"/>
        </w:rPr>
        <w:t xml:space="preserve">Inga Blom, A, Ærø Kommune </w:t>
      </w:r>
    </w:p>
    <w:p w14:paraId="3F38D26E" w14:textId="77777777" w:rsidR="00905DB3" w:rsidRDefault="00905DB3" w:rsidP="00905DB3">
      <w:pPr>
        <w:pStyle w:val="Default"/>
        <w:numPr>
          <w:ilvl w:val="0"/>
          <w:numId w:val="9"/>
        </w:numPr>
        <w:rPr>
          <w:rFonts w:asciiTheme="minorHAnsi" w:hAnsiTheme="minorHAnsi" w:cstheme="minorHAnsi"/>
          <w:sz w:val="22"/>
          <w:szCs w:val="20"/>
        </w:rPr>
      </w:pPr>
      <w:r w:rsidRPr="00905DB3">
        <w:rPr>
          <w:rFonts w:asciiTheme="minorHAnsi" w:hAnsiTheme="minorHAnsi" w:cstheme="minorHAnsi"/>
          <w:sz w:val="22"/>
          <w:szCs w:val="20"/>
        </w:rPr>
        <w:t xml:space="preserve">Brian Skov Nielsen, Ø, Odense Kommune </w:t>
      </w:r>
    </w:p>
    <w:p w14:paraId="01ED9431" w14:textId="77777777" w:rsidR="00905DB3" w:rsidRDefault="00905DB3" w:rsidP="00905DB3">
      <w:pPr>
        <w:pStyle w:val="Default"/>
        <w:rPr>
          <w:rFonts w:asciiTheme="minorHAnsi" w:hAnsiTheme="minorHAnsi" w:cstheme="minorHAnsi"/>
          <w:sz w:val="22"/>
          <w:szCs w:val="20"/>
        </w:rPr>
      </w:pPr>
    </w:p>
    <w:p w14:paraId="125AC131" w14:textId="22192539" w:rsidR="00905DB3" w:rsidRDefault="00A35E18" w:rsidP="00905DB3">
      <w:pPr>
        <w:pStyle w:val="Default"/>
        <w:rPr>
          <w:rFonts w:asciiTheme="minorHAnsi" w:hAnsiTheme="minorHAnsi" w:cstheme="minorHAnsi"/>
          <w:sz w:val="22"/>
          <w:szCs w:val="20"/>
        </w:rPr>
      </w:pPr>
      <w:r>
        <w:rPr>
          <w:rFonts w:asciiTheme="minorHAnsi" w:hAnsiTheme="minorHAnsi" w:cstheme="minorHAnsi"/>
          <w:sz w:val="22"/>
          <w:szCs w:val="20"/>
        </w:rPr>
        <w:t>Udpeget af Region Syddanmark</w:t>
      </w:r>
      <w:r w:rsidR="00905DB3">
        <w:rPr>
          <w:rFonts w:asciiTheme="minorHAnsi" w:hAnsiTheme="minorHAnsi" w:cstheme="minorHAnsi"/>
          <w:sz w:val="22"/>
          <w:szCs w:val="20"/>
        </w:rPr>
        <w:t xml:space="preserve">: </w:t>
      </w:r>
    </w:p>
    <w:p w14:paraId="3EB240C8" w14:textId="77777777" w:rsidR="00905DB3" w:rsidRPr="00905DB3" w:rsidRDefault="00905DB3" w:rsidP="00905DB3">
      <w:pPr>
        <w:pStyle w:val="Default"/>
        <w:rPr>
          <w:rFonts w:asciiTheme="minorHAnsi" w:hAnsiTheme="minorHAnsi" w:cstheme="minorHAnsi"/>
          <w:sz w:val="22"/>
          <w:szCs w:val="20"/>
        </w:rPr>
      </w:pPr>
    </w:p>
    <w:p w14:paraId="576C0A2D" w14:textId="7287C4DF" w:rsidR="00905DB3" w:rsidRPr="00905DB3" w:rsidRDefault="00905DB3" w:rsidP="00905DB3">
      <w:pPr>
        <w:pStyle w:val="Listeafsnit"/>
        <w:numPr>
          <w:ilvl w:val="0"/>
          <w:numId w:val="11"/>
        </w:numPr>
        <w:autoSpaceDE w:val="0"/>
        <w:autoSpaceDN w:val="0"/>
        <w:adjustRightInd w:val="0"/>
        <w:spacing w:after="0" w:line="240" w:lineRule="auto"/>
        <w:rPr>
          <w:rFonts w:cstheme="minorHAnsi"/>
          <w:color w:val="000000"/>
          <w:szCs w:val="20"/>
        </w:rPr>
      </w:pPr>
      <w:r w:rsidRPr="00905DB3">
        <w:rPr>
          <w:rFonts w:cstheme="minorHAnsi"/>
          <w:color w:val="000000"/>
          <w:szCs w:val="20"/>
        </w:rPr>
        <w:t xml:space="preserve">Bo Libergren, V </w:t>
      </w:r>
      <w:r w:rsidR="00A7432A">
        <w:rPr>
          <w:rFonts w:cstheme="minorHAnsi"/>
          <w:color w:val="000000"/>
          <w:szCs w:val="20"/>
        </w:rPr>
        <w:t>(formand)</w:t>
      </w:r>
    </w:p>
    <w:p w14:paraId="66CF5229" w14:textId="39B5C0DE" w:rsidR="00905DB3" w:rsidRPr="00905DB3" w:rsidRDefault="00905DB3" w:rsidP="00905DB3">
      <w:pPr>
        <w:pStyle w:val="Listeafsnit"/>
        <w:numPr>
          <w:ilvl w:val="0"/>
          <w:numId w:val="11"/>
        </w:numPr>
        <w:autoSpaceDE w:val="0"/>
        <w:autoSpaceDN w:val="0"/>
        <w:adjustRightInd w:val="0"/>
        <w:spacing w:after="0" w:line="240" w:lineRule="auto"/>
        <w:rPr>
          <w:rFonts w:cstheme="minorHAnsi"/>
          <w:color w:val="000000"/>
          <w:szCs w:val="20"/>
        </w:rPr>
      </w:pPr>
      <w:r w:rsidRPr="00905DB3">
        <w:rPr>
          <w:rFonts w:cstheme="minorHAnsi"/>
          <w:color w:val="000000"/>
          <w:szCs w:val="20"/>
        </w:rPr>
        <w:t xml:space="preserve">Marianne Mørk Mathiesen, </w:t>
      </w:r>
      <w:r w:rsidR="0079716F">
        <w:rPr>
          <w:rFonts w:cstheme="minorHAnsi"/>
          <w:color w:val="000000"/>
          <w:szCs w:val="20"/>
        </w:rPr>
        <w:t>løsgænger</w:t>
      </w:r>
      <w:r w:rsidR="0079716F" w:rsidRPr="00905DB3">
        <w:rPr>
          <w:rFonts w:cstheme="minorHAnsi"/>
          <w:color w:val="000000"/>
          <w:szCs w:val="20"/>
        </w:rPr>
        <w:t xml:space="preserve"> </w:t>
      </w:r>
    </w:p>
    <w:p w14:paraId="3A8FEBBA" w14:textId="77777777" w:rsidR="00905DB3" w:rsidRPr="00905DB3" w:rsidRDefault="00905DB3" w:rsidP="00905DB3">
      <w:pPr>
        <w:pStyle w:val="Listeafsnit"/>
        <w:numPr>
          <w:ilvl w:val="0"/>
          <w:numId w:val="11"/>
        </w:numPr>
        <w:autoSpaceDE w:val="0"/>
        <w:autoSpaceDN w:val="0"/>
        <w:adjustRightInd w:val="0"/>
        <w:spacing w:after="0" w:line="240" w:lineRule="auto"/>
        <w:rPr>
          <w:rFonts w:cstheme="minorHAnsi"/>
          <w:color w:val="000000"/>
          <w:szCs w:val="20"/>
          <w:lang w:val="en-US"/>
        </w:rPr>
      </w:pPr>
      <w:r w:rsidRPr="00905DB3">
        <w:rPr>
          <w:rFonts w:cstheme="minorHAnsi"/>
          <w:color w:val="000000"/>
          <w:szCs w:val="20"/>
          <w:lang w:val="en-US"/>
        </w:rPr>
        <w:t xml:space="preserve">Jørn Lehmann Petersen, A </w:t>
      </w:r>
    </w:p>
    <w:p w14:paraId="3E530993" w14:textId="77777777" w:rsidR="00905DB3" w:rsidRPr="00905DB3" w:rsidRDefault="00905DB3" w:rsidP="00905DB3">
      <w:pPr>
        <w:pStyle w:val="Listeafsnit"/>
        <w:numPr>
          <w:ilvl w:val="0"/>
          <w:numId w:val="11"/>
        </w:numPr>
        <w:autoSpaceDE w:val="0"/>
        <w:autoSpaceDN w:val="0"/>
        <w:adjustRightInd w:val="0"/>
        <w:spacing w:after="0" w:line="240" w:lineRule="auto"/>
        <w:rPr>
          <w:rFonts w:cstheme="minorHAnsi"/>
          <w:color w:val="000000"/>
          <w:szCs w:val="20"/>
          <w:lang w:val="en-US"/>
        </w:rPr>
      </w:pPr>
      <w:r w:rsidRPr="00905DB3">
        <w:rPr>
          <w:rFonts w:cstheme="minorHAnsi"/>
          <w:color w:val="000000"/>
          <w:szCs w:val="20"/>
          <w:lang w:val="en-US"/>
        </w:rPr>
        <w:t xml:space="preserve">Thies Mathiasen, O </w:t>
      </w:r>
    </w:p>
    <w:p w14:paraId="12A31F6D" w14:textId="77777777" w:rsidR="00905DB3" w:rsidRPr="00905DB3" w:rsidRDefault="00905DB3" w:rsidP="00905DB3">
      <w:pPr>
        <w:pStyle w:val="Listeafsnit"/>
        <w:numPr>
          <w:ilvl w:val="0"/>
          <w:numId w:val="11"/>
        </w:numPr>
        <w:autoSpaceDE w:val="0"/>
        <w:autoSpaceDN w:val="0"/>
        <w:adjustRightInd w:val="0"/>
        <w:spacing w:after="0" w:line="240" w:lineRule="auto"/>
        <w:rPr>
          <w:rFonts w:cstheme="minorHAnsi"/>
          <w:color w:val="000000"/>
          <w:szCs w:val="20"/>
        </w:rPr>
      </w:pPr>
      <w:r w:rsidRPr="00905DB3">
        <w:rPr>
          <w:rFonts w:cstheme="minorHAnsi"/>
          <w:color w:val="000000"/>
          <w:szCs w:val="20"/>
        </w:rPr>
        <w:t xml:space="preserve">Vibeke </w:t>
      </w:r>
      <w:proofErr w:type="spellStart"/>
      <w:r w:rsidRPr="00905DB3">
        <w:rPr>
          <w:rFonts w:cstheme="minorHAnsi"/>
          <w:color w:val="000000"/>
          <w:szCs w:val="20"/>
        </w:rPr>
        <w:t>Syppli</w:t>
      </w:r>
      <w:proofErr w:type="spellEnd"/>
      <w:r w:rsidRPr="00905DB3">
        <w:rPr>
          <w:rFonts w:cstheme="minorHAnsi"/>
          <w:color w:val="000000"/>
          <w:szCs w:val="20"/>
        </w:rPr>
        <w:t xml:space="preserve"> Enrum, Ø </w:t>
      </w:r>
    </w:p>
    <w:p w14:paraId="16F955F7" w14:textId="77777777" w:rsidR="00905DB3" w:rsidRDefault="00905DB3" w:rsidP="00905DB3">
      <w:pPr>
        <w:autoSpaceDE w:val="0"/>
        <w:autoSpaceDN w:val="0"/>
        <w:adjustRightInd w:val="0"/>
        <w:spacing w:after="0" w:line="240" w:lineRule="auto"/>
        <w:rPr>
          <w:rFonts w:ascii="Verdana" w:hAnsi="Verdana" w:cs="Verdana"/>
          <w:color w:val="000000"/>
          <w:sz w:val="20"/>
          <w:szCs w:val="20"/>
        </w:rPr>
      </w:pPr>
    </w:p>
    <w:p w14:paraId="2A97A219" w14:textId="1B2410F6" w:rsidR="0079716F" w:rsidRDefault="00A35E18" w:rsidP="00905DB3">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Udpeget af </w:t>
      </w:r>
      <w:r w:rsidR="0079716F">
        <w:rPr>
          <w:rFonts w:ascii="Verdana" w:hAnsi="Verdana" w:cs="Verdana"/>
          <w:color w:val="000000"/>
          <w:sz w:val="20"/>
          <w:szCs w:val="20"/>
        </w:rPr>
        <w:t>PLO Syddanmark</w:t>
      </w:r>
      <w:r>
        <w:rPr>
          <w:rFonts w:ascii="Verdana" w:hAnsi="Verdana" w:cs="Verdana"/>
          <w:color w:val="000000"/>
          <w:sz w:val="20"/>
          <w:szCs w:val="20"/>
        </w:rPr>
        <w:t>:</w:t>
      </w:r>
    </w:p>
    <w:p w14:paraId="16325F98" w14:textId="3B69DA0D" w:rsidR="0079716F" w:rsidRDefault="0079716F" w:rsidP="00EB5444">
      <w:pPr>
        <w:pStyle w:val="Listeafsnit"/>
        <w:numPr>
          <w:ilvl w:val="0"/>
          <w:numId w:val="15"/>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Jørgen Skadborg</w:t>
      </w:r>
    </w:p>
    <w:p w14:paraId="46B8D255" w14:textId="66DEF006" w:rsidR="0079716F" w:rsidRPr="00EB5444" w:rsidRDefault="0079716F" w:rsidP="00EB5444">
      <w:pPr>
        <w:pStyle w:val="Listeafsnit"/>
        <w:numPr>
          <w:ilvl w:val="0"/>
          <w:numId w:val="15"/>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Mireille Lacroix</w:t>
      </w:r>
    </w:p>
    <w:p w14:paraId="7663B580" w14:textId="77777777" w:rsidR="00905DB3" w:rsidRDefault="00905DB3" w:rsidP="00905DB3">
      <w:pPr>
        <w:pStyle w:val="Default"/>
        <w:rPr>
          <w:rFonts w:ascii="Verdana" w:hAnsi="Verdana" w:cs="Verdana"/>
          <w:sz w:val="20"/>
          <w:szCs w:val="20"/>
        </w:rPr>
      </w:pPr>
    </w:p>
    <w:p w14:paraId="6A36E85B" w14:textId="0FCB69FA" w:rsidR="00504A38" w:rsidRDefault="00504A38" w:rsidP="00504A38">
      <w:r>
        <w:t>De fem kommunale politikere repræsentere</w:t>
      </w:r>
      <w:r w:rsidR="00DF0FA0">
        <w:t>r</w:t>
      </w:r>
      <w:r>
        <w:t xml:space="preserve"> de 22 syddanske kommuner i samarbejdet. </w:t>
      </w:r>
      <w:r w:rsidR="00392B46">
        <w:t xml:space="preserve">Sundhedsaftalen er politisk forankret i alle 22 kommuner, </w:t>
      </w:r>
      <w:r w:rsidR="00D23555">
        <w:t>da den godkendes af hver</w:t>
      </w:r>
      <w:r w:rsidR="00392B46">
        <w:t xml:space="preserve"> enkel</w:t>
      </w:r>
      <w:r w:rsidR="00D23555">
        <w:t>te</w:t>
      </w:r>
      <w:r w:rsidR="00392B46">
        <w:t xml:space="preserve"> kommunalbestyrelse. </w:t>
      </w:r>
    </w:p>
    <w:p w14:paraId="577CEACF" w14:textId="77777777" w:rsidR="00504A38" w:rsidRDefault="00504A38" w:rsidP="003F45A4"/>
    <w:p w14:paraId="6E48FBC9" w14:textId="77777777" w:rsidR="00C26453" w:rsidRDefault="00C26453" w:rsidP="00C26453">
      <w:pPr>
        <w:pStyle w:val="Overskrift2"/>
        <w:rPr>
          <w:b/>
        </w:rPr>
      </w:pPr>
      <w:r w:rsidRPr="00C26453">
        <w:rPr>
          <w:b/>
        </w:rPr>
        <w:t>Politisk opstartsmøde d. 24. april 2018</w:t>
      </w:r>
    </w:p>
    <w:p w14:paraId="00F04024" w14:textId="77777777" w:rsidR="00030790" w:rsidRDefault="00797B1C" w:rsidP="00030790">
      <w:r>
        <w:t xml:space="preserve">Som nævnt har </w:t>
      </w:r>
      <w:r w:rsidR="00030790">
        <w:t xml:space="preserve">Sundhedskoordinationsudvalget besluttet, at udarbejdelsen af den kommende sundhedsaftale igangsættes med et politisk opstartsmøde d. 24. april 2018. Formålet med mødet er i fællesskab at finde frem til, hvad der skal danne grundlag for den politiske vision </w:t>
      </w:r>
      <w:r w:rsidR="00905DB3">
        <w:t>i</w:t>
      </w:r>
      <w:r w:rsidR="00030790">
        <w:t xml:space="preserve"> den kommende sundhedsaftale. Samtidig er forventningen, at man </w:t>
      </w:r>
      <w:r w:rsidR="00905DB3">
        <w:t>på mødet vil</w:t>
      </w:r>
      <w:r w:rsidR="00030790">
        <w:t xml:space="preserve"> blive tydeligere på, hvad det er for målsætninger, der skal arbejdes videre med. </w:t>
      </w:r>
    </w:p>
    <w:p w14:paraId="1BD94AC5" w14:textId="6A96AE9D" w:rsidR="00030790" w:rsidRDefault="00030790" w:rsidP="00030790">
      <w:r>
        <w:lastRenderedPageBreak/>
        <w:t xml:space="preserve">Udgangspunktet for mødet vil være de seneste sundhedspolitiske udspil fra KKR Syddanmark, Region Syddanmark samt PLO Syddanmark. Derudover vil deltagerne blive præsenteret for resultaterne fra den nationale </w:t>
      </w:r>
      <w:r w:rsidR="00DF0FA0">
        <w:t>sundhedsprofil</w:t>
      </w:r>
      <w:r>
        <w:t xml:space="preserve">, </w:t>
      </w:r>
      <w:r w:rsidR="00905DB3">
        <w:t>’</w:t>
      </w:r>
      <w:r>
        <w:t>Hvordan har du det?</w:t>
      </w:r>
      <w:r w:rsidR="00A35E18">
        <w:t xml:space="preserve"> 2017</w:t>
      </w:r>
      <w:r w:rsidR="00905DB3">
        <w:t>’ samt et overleveringspapir udarbejdet af</w:t>
      </w:r>
      <w:r>
        <w:t xml:space="preserve"> det afgå</w:t>
      </w:r>
      <w:r w:rsidR="00797B1C">
        <w:t>ede</w:t>
      </w:r>
      <w:r>
        <w:t xml:space="preserve"> Sundhedskoordinationsudvalg. </w:t>
      </w:r>
    </w:p>
    <w:p w14:paraId="7A16290D" w14:textId="77777777" w:rsidR="00030790" w:rsidRPr="00030790" w:rsidRDefault="00030790" w:rsidP="00030790">
      <w:r>
        <w:t xml:space="preserve">Deltagerne på mødet vil være medlemmer af Sundhedskoordinationsudvalget, </w:t>
      </w:r>
      <w:r w:rsidR="00797B1C">
        <w:t>medlemmer af relevante kommunale politiske udvalg</w:t>
      </w:r>
      <w:r w:rsidR="00CC7F06">
        <w:t xml:space="preserve">, medlemmer af Region Syddanmarks Udvalg for det nære og sammenhængende sundhedsvæsen og Psykiatri- og Socialudvalg, </w:t>
      </w:r>
      <w:r w:rsidR="002B5689">
        <w:t>repræsentanter</w:t>
      </w:r>
      <w:r w:rsidR="00797B1C">
        <w:t xml:space="preserve"> </w:t>
      </w:r>
      <w:r w:rsidR="00CC7F06">
        <w:t>for PLO Syddanmark,</w:t>
      </w:r>
      <w:r w:rsidR="002B5689">
        <w:t xml:space="preserve"> </w:t>
      </w:r>
      <w:r w:rsidR="00CC7F06">
        <w:t xml:space="preserve">medlemmer af Praksisplanudvalget, formandskabet i Kommunekontaktrådet samt medlemmer af Det Administrative Kontaktforum. </w:t>
      </w:r>
      <w:r>
        <w:t xml:space="preserve"> </w:t>
      </w:r>
    </w:p>
    <w:p w14:paraId="3F31D9FC" w14:textId="77777777" w:rsidR="00C26453" w:rsidRDefault="00C26453" w:rsidP="003F45A4"/>
    <w:p w14:paraId="76847D53" w14:textId="77777777" w:rsidR="003F45A4" w:rsidRPr="00600687" w:rsidRDefault="00600687" w:rsidP="00600687">
      <w:pPr>
        <w:pStyle w:val="Overskrift2"/>
        <w:rPr>
          <w:b/>
        </w:rPr>
      </w:pPr>
      <w:r w:rsidRPr="00600687">
        <w:rPr>
          <w:b/>
        </w:rPr>
        <w:t>Løsninger i det tværsektorielle samarbejde</w:t>
      </w:r>
    </w:p>
    <w:p w14:paraId="53C8BEC1" w14:textId="16712133" w:rsidR="00600687" w:rsidRDefault="00600687" w:rsidP="00600687">
      <w:r>
        <w:t>Sundhedsaftalen bygger på fælles politiske visioner</w:t>
      </w:r>
      <w:bookmarkStart w:id="0" w:name="_GoBack"/>
      <w:bookmarkEnd w:id="0"/>
      <w:r w:rsidR="002903F4">
        <w:t xml:space="preserve"> og målsætninger</w:t>
      </w:r>
      <w:r>
        <w:t xml:space="preserve"> for samarbejdet mellem kommuner, region og almen praksis, og formålet med sundhedsaftalen er, at borgere og patienter modtager en sammenhængende indsats af høj kvalitet uanset antallet af kontakter eller karakteren af den indsats, de har behov for. </w:t>
      </w:r>
      <w:r w:rsidRPr="00E602D1">
        <w:t xml:space="preserve">Sundhedsaftalen skal favne både somatik- og psykiatriområdet. </w:t>
      </w:r>
    </w:p>
    <w:p w14:paraId="6A20F8D5" w14:textId="6897262A" w:rsidR="00E53C37" w:rsidRDefault="00C631C2" w:rsidP="00600687">
      <w:r>
        <w:t>Det seneste årti er den gennemsnitlige indlæggelsestid faldet markant og borgere udredes og behandles i langt højere grad ambulant på sygehusene. Samtidig bliver de kommunale sygeplejer og akutfunktioner i stigende grad involveret i færdigbehandlingen af borgere i deres eget hjem eller nærmiljø. Den udvikling er både et resultat af den medicinske og teknologiske udvikling, men ligeledes af hensyn til borgere og pårørende, som foretrækker at forblive i eget hjem, hvis mulig. Desuden er der et nationalt fokus på at udvikle det nære sundhedsvæsen.</w:t>
      </w:r>
    </w:p>
    <w:p w14:paraId="6FA8BE5B" w14:textId="3B88ED21" w:rsidR="00E53C37" w:rsidRDefault="00204C08" w:rsidP="00600687">
      <w:r>
        <w:t>Det er desværre</w:t>
      </w:r>
      <w:r w:rsidR="00C631C2">
        <w:t xml:space="preserve"> også</w:t>
      </w:r>
      <w:r>
        <w:t xml:space="preserve"> kendt, at vi inden for de kommende år vil </w:t>
      </w:r>
      <w:r w:rsidR="00C631C2">
        <w:t xml:space="preserve">blive </w:t>
      </w:r>
      <w:r>
        <w:t xml:space="preserve">markant flere mennesker med kroniske sygdom som fx KOL eller diabetes. </w:t>
      </w:r>
    </w:p>
    <w:p w14:paraId="6A827808" w14:textId="77777777" w:rsidR="00E53C37" w:rsidRDefault="00E53C37" w:rsidP="00600687"/>
    <w:tbl>
      <w:tblPr>
        <w:tblStyle w:val="Lysliste-fremhvningsfarve3"/>
        <w:tblW w:w="4125" w:type="dxa"/>
        <w:tblInd w:w="2764" w:type="dxa"/>
        <w:tblLook w:val="0420" w:firstRow="1" w:lastRow="0" w:firstColumn="0" w:lastColumn="0" w:noHBand="0" w:noVBand="1"/>
      </w:tblPr>
      <w:tblGrid>
        <w:gridCol w:w="1375"/>
        <w:gridCol w:w="1375"/>
        <w:gridCol w:w="1375"/>
      </w:tblGrid>
      <w:tr w:rsidR="00E53C37" w:rsidRPr="00A35E18" w14:paraId="7E1DD92C" w14:textId="77777777" w:rsidTr="00EB5444">
        <w:trPr>
          <w:cnfStyle w:val="100000000000" w:firstRow="1" w:lastRow="0" w:firstColumn="0" w:lastColumn="0" w:oddVBand="0" w:evenVBand="0" w:oddHBand="0" w:evenHBand="0" w:firstRowFirstColumn="0" w:firstRowLastColumn="0" w:lastRowFirstColumn="0" w:lastRowLastColumn="0"/>
          <w:trHeight w:val="224"/>
        </w:trPr>
        <w:tc>
          <w:tcPr>
            <w:tcW w:w="1375" w:type="dxa"/>
            <w:hideMark/>
          </w:tcPr>
          <w:p w14:paraId="56E6F0D3" w14:textId="77777777" w:rsidR="00A35E18" w:rsidRPr="00A35E18" w:rsidRDefault="00A35E18" w:rsidP="00A35E18">
            <w:pPr>
              <w:spacing w:after="160" w:line="259" w:lineRule="auto"/>
            </w:pPr>
          </w:p>
        </w:tc>
        <w:tc>
          <w:tcPr>
            <w:tcW w:w="1375" w:type="dxa"/>
            <w:hideMark/>
          </w:tcPr>
          <w:p w14:paraId="74B1A0B2" w14:textId="77777777" w:rsidR="00F87723" w:rsidRPr="00A35E18" w:rsidRDefault="00A35E18" w:rsidP="00A35E18">
            <w:pPr>
              <w:spacing w:after="160" w:line="259" w:lineRule="auto"/>
            </w:pPr>
            <w:r w:rsidRPr="00A35E18">
              <w:t>2015</w:t>
            </w:r>
          </w:p>
        </w:tc>
        <w:tc>
          <w:tcPr>
            <w:tcW w:w="1375" w:type="dxa"/>
            <w:hideMark/>
          </w:tcPr>
          <w:p w14:paraId="5D6EC8E5" w14:textId="77777777" w:rsidR="00F87723" w:rsidRPr="00A35E18" w:rsidRDefault="00A35E18" w:rsidP="00A35E18">
            <w:pPr>
              <w:spacing w:after="160" w:line="259" w:lineRule="auto"/>
            </w:pPr>
            <w:r w:rsidRPr="00A35E18">
              <w:t>2030</w:t>
            </w:r>
          </w:p>
        </w:tc>
      </w:tr>
      <w:tr w:rsidR="00E53C37" w:rsidRPr="00A35E18" w14:paraId="5B1ACC7C" w14:textId="77777777" w:rsidTr="00EB5444">
        <w:trPr>
          <w:cnfStyle w:val="000000100000" w:firstRow="0" w:lastRow="0" w:firstColumn="0" w:lastColumn="0" w:oddVBand="0" w:evenVBand="0" w:oddHBand="1" w:evenHBand="0" w:firstRowFirstColumn="0" w:firstRowLastColumn="0" w:lastRowFirstColumn="0" w:lastRowLastColumn="0"/>
          <w:trHeight w:val="224"/>
        </w:trPr>
        <w:tc>
          <w:tcPr>
            <w:tcW w:w="1375" w:type="dxa"/>
            <w:hideMark/>
          </w:tcPr>
          <w:p w14:paraId="5A2160F9" w14:textId="77777777" w:rsidR="00F87723" w:rsidRPr="00A35E18" w:rsidRDefault="00A35E18" w:rsidP="00A35E18">
            <w:pPr>
              <w:spacing w:after="160" w:line="259" w:lineRule="auto"/>
            </w:pPr>
            <w:r w:rsidRPr="00A35E18">
              <w:t>Diabetes</w:t>
            </w:r>
          </w:p>
        </w:tc>
        <w:tc>
          <w:tcPr>
            <w:tcW w:w="1375" w:type="dxa"/>
            <w:hideMark/>
          </w:tcPr>
          <w:p w14:paraId="4D921130" w14:textId="77777777" w:rsidR="00F87723" w:rsidRPr="00A35E18" w:rsidRDefault="00A35E18" w:rsidP="00A35E18">
            <w:pPr>
              <w:spacing w:after="160" w:line="259" w:lineRule="auto"/>
            </w:pPr>
            <w:r w:rsidRPr="00A35E18">
              <w:t>220.000</w:t>
            </w:r>
          </w:p>
        </w:tc>
        <w:tc>
          <w:tcPr>
            <w:tcW w:w="1375" w:type="dxa"/>
            <w:hideMark/>
          </w:tcPr>
          <w:p w14:paraId="77AA4B61" w14:textId="77777777" w:rsidR="00F87723" w:rsidRPr="00A35E18" w:rsidRDefault="00A35E18" w:rsidP="00A35E18">
            <w:pPr>
              <w:spacing w:after="160" w:line="259" w:lineRule="auto"/>
            </w:pPr>
            <w:r w:rsidRPr="00A35E18">
              <w:t>430.000</w:t>
            </w:r>
          </w:p>
        </w:tc>
      </w:tr>
      <w:tr w:rsidR="00E53C37" w:rsidRPr="00A35E18" w14:paraId="0FB12815" w14:textId="77777777" w:rsidTr="00EB5444">
        <w:trPr>
          <w:trHeight w:val="349"/>
        </w:trPr>
        <w:tc>
          <w:tcPr>
            <w:tcW w:w="1375" w:type="dxa"/>
            <w:hideMark/>
          </w:tcPr>
          <w:p w14:paraId="2E23A1D1" w14:textId="77777777" w:rsidR="00F87723" w:rsidRPr="00A35E18" w:rsidRDefault="00A35E18" w:rsidP="00A35E18">
            <w:pPr>
              <w:spacing w:after="160" w:line="259" w:lineRule="auto"/>
            </w:pPr>
            <w:r w:rsidRPr="00A35E18">
              <w:t>KOL</w:t>
            </w:r>
          </w:p>
        </w:tc>
        <w:tc>
          <w:tcPr>
            <w:tcW w:w="1375" w:type="dxa"/>
            <w:hideMark/>
          </w:tcPr>
          <w:p w14:paraId="28039091" w14:textId="77777777" w:rsidR="00F87723" w:rsidRPr="00A35E18" w:rsidRDefault="00A35E18" w:rsidP="00A35E18">
            <w:pPr>
              <w:spacing w:after="160" w:line="259" w:lineRule="auto"/>
            </w:pPr>
            <w:r w:rsidRPr="00A35E18">
              <w:t>180.000</w:t>
            </w:r>
          </w:p>
        </w:tc>
        <w:tc>
          <w:tcPr>
            <w:tcW w:w="1375" w:type="dxa"/>
            <w:hideMark/>
          </w:tcPr>
          <w:p w14:paraId="2BCDC2A6" w14:textId="77777777" w:rsidR="00F87723" w:rsidRPr="00A35E18" w:rsidRDefault="00A35E18" w:rsidP="00A35E18">
            <w:pPr>
              <w:spacing w:after="160" w:line="259" w:lineRule="auto"/>
            </w:pPr>
            <w:r w:rsidRPr="00A35E18">
              <w:t>250.000</w:t>
            </w:r>
          </w:p>
        </w:tc>
      </w:tr>
    </w:tbl>
    <w:p w14:paraId="39F9F916" w14:textId="77777777" w:rsidR="00E53C37" w:rsidRPr="00EB5444" w:rsidRDefault="00E53C37" w:rsidP="00EB5444">
      <w:pPr>
        <w:jc w:val="center"/>
        <w:rPr>
          <w:sz w:val="18"/>
          <w:szCs w:val="18"/>
        </w:rPr>
      </w:pPr>
      <w:r w:rsidRPr="00EB5444">
        <w:rPr>
          <w:i/>
          <w:iCs/>
          <w:sz w:val="18"/>
          <w:szCs w:val="18"/>
        </w:rPr>
        <w:t>Kilde: Sygdomsudviklingen i Danmark fremskrevet til 2030, Statens Institut for Folkesundhed</w:t>
      </w:r>
    </w:p>
    <w:p w14:paraId="4A552840" w14:textId="77777777" w:rsidR="00E53C37" w:rsidRDefault="00E53C37" w:rsidP="00600687"/>
    <w:p w14:paraId="15532C95" w14:textId="0EFDE74E" w:rsidR="00392B46" w:rsidRDefault="00204C08" w:rsidP="00600687">
      <w:r>
        <w:t xml:space="preserve">Samtidig </w:t>
      </w:r>
      <w:r w:rsidR="00E53C37">
        <w:t>vil vi se</w:t>
      </w:r>
      <w:r>
        <w:t xml:space="preserve"> en markant stigning i antallet af mennesker med psykiske lidelser. Særligt kæmper en stigende gruppe unge med psykiatriske problemstillinger</w:t>
      </w:r>
      <w:r w:rsidR="00905DB3">
        <w:t xml:space="preserve">. </w:t>
      </w:r>
      <w:r w:rsidR="00274BAE">
        <w:t xml:space="preserve">Herudover kan fremhæves, at </w:t>
      </w:r>
      <w:r w:rsidR="00392B46">
        <w:t xml:space="preserve">antallet af unge, </w:t>
      </w:r>
      <w:r w:rsidR="00274BAE">
        <w:t>der begynder at ryge</w:t>
      </w:r>
      <w:r w:rsidR="00392B46">
        <w:t>,</w:t>
      </w:r>
      <w:r w:rsidR="00274BAE">
        <w:t xml:space="preserve"> er stødt stigende og har været</w:t>
      </w:r>
      <w:r w:rsidR="00392B46">
        <w:t xml:space="preserve"> de</w:t>
      </w:r>
      <w:r w:rsidR="00274BAE">
        <w:t>t</w:t>
      </w:r>
      <w:r w:rsidR="00392B46">
        <w:t xml:space="preserve"> </w:t>
      </w:r>
      <w:r w:rsidR="00274BAE">
        <w:t xml:space="preserve">de </w:t>
      </w:r>
      <w:r w:rsidR="00392B46">
        <w:t xml:space="preserve">seneste år. </w:t>
      </w:r>
      <w:r w:rsidR="00C8396F">
        <w:t xml:space="preserve">Ydermere </w:t>
      </w:r>
      <w:r w:rsidR="00D23555">
        <w:t>kan nævnes</w:t>
      </w:r>
      <w:r w:rsidR="00C8396F">
        <w:t>, er der et stigende behov for, at der sker en tættere kobling mellem sund</w:t>
      </w:r>
      <w:r w:rsidR="00D23555">
        <w:t>heds- og arbejdsmarked</w:t>
      </w:r>
      <w:r w:rsidR="00F21CE9">
        <w:t xml:space="preserve">sområdet. </w:t>
      </w:r>
    </w:p>
    <w:p w14:paraId="574AD7A4" w14:textId="5C7A032D" w:rsidR="00A42D52" w:rsidRDefault="00ED794F" w:rsidP="00600687">
      <w:r>
        <w:t xml:space="preserve">Der er </w:t>
      </w:r>
      <w:r w:rsidR="00C8396F">
        <w:t>på mange områder</w:t>
      </w:r>
      <w:r w:rsidR="00274BAE">
        <w:t>, og</w:t>
      </w:r>
      <w:r w:rsidR="00C8396F">
        <w:t xml:space="preserve"> </w:t>
      </w:r>
      <w:r w:rsidR="00905DB3">
        <w:t>mere end nogensinde</w:t>
      </w:r>
      <w:r w:rsidR="00274BAE">
        <w:t xml:space="preserve"> før,</w:t>
      </w:r>
      <w:r w:rsidR="00905DB3">
        <w:t xml:space="preserve"> brug for et sundhedsvæsen, der er indrettet efter de sundhedsmæssige udfordringer, som vi står overfor nu, og i årene der kommer.</w:t>
      </w:r>
      <w:r w:rsidR="00CE1EC5">
        <w:t xml:space="preserve"> Vi er nødt til at stille krav til kvalitet og sammenhæng, hvis vi samlet set skal kunne lykkes i forhold til den udvikling</w:t>
      </w:r>
      <w:r w:rsidR="00905DB3">
        <w:t>,</w:t>
      </w:r>
      <w:r w:rsidR="00CE1EC5">
        <w:t xml:space="preserve"> vi er tvunget til at være en del af. </w:t>
      </w:r>
    </w:p>
    <w:p w14:paraId="6D3F8D23" w14:textId="46BE2CCC" w:rsidR="00C26453" w:rsidRDefault="00905DB3" w:rsidP="00600687">
      <w:r>
        <w:lastRenderedPageBreak/>
        <w:t xml:space="preserve">Den politiske vision og/eller </w:t>
      </w:r>
      <w:r w:rsidR="00C26453">
        <w:t>målsætninger</w:t>
      </w:r>
      <w:r>
        <w:t>,</w:t>
      </w:r>
      <w:r w:rsidR="00C26453">
        <w:t xml:space="preserve"> der</w:t>
      </w:r>
      <w:r>
        <w:t xml:space="preserve"> besluttes for den kommende sundhedsaftale</w:t>
      </w:r>
      <w:r w:rsidR="00C8396F">
        <w:t>,</w:t>
      </w:r>
      <w:r w:rsidR="00ED794F">
        <w:t xml:space="preserve"> kan være med til, at de involverede parter</w:t>
      </w:r>
      <w:r>
        <w:t xml:space="preserve"> alle</w:t>
      </w:r>
      <w:r w:rsidR="00C26453">
        <w:t xml:space="preserve"> trækker i s</w:t>
      </w:r>
      <w:r w:rsidR="00F21CE9">
        <w:t xml:space="preserve">amme retning. </w:t>
      </w:r>
    </w:p>
    <w:p w14:paraId="6A316BCB" w14:textId="77777777" w:rsidR="00600687" w:rsidRDefault="00600687"/>
    <w:p w14:paraId="05013440" w14:textId="77777777" w:rsidR="00600687" w:rsidRPr="00504A38" w:rsidRDefault="00600687">
      <w:pPr>
        <w:rPr>
          <w:b/>
        </w:rPr>
      </w:pPr>
      <w:r w:rsidRPr="00504A38">
        <w:rPr>
          <w:b/>
        </w:rPr>
        <w:t>Relevant spørgsmål til drøftelse</w:t>
      </w:r>
    </w:p>
    <w:p w14:paraId="1A3E2523" w14:textId="77777777" w:rsidR="00600687" w:rsidRDefault="00600687" w:rsidP="00600687">
      <w:pPr>
        <w:pStyle w:val="Listeafsnit"/>
        <w:numPr>
          <w:ilvl w:val="0"/>
          <w:numId w:val="1"/>
        </w:numPr>
      </w:pPr>
      <w:r>
        <w:t xml:space="preserve">Hvad </w:t>
      </w:r>
      <w:r w:rsidR="00504A38">
        <w:t>er</w:t>
      </w:r>
      <w:r>
        <w:t xml:space="preserve"> I</w:t>
      </w:r>
      <w:r w:rsidR="00504A38">
        <w:t xml:space="preserve"> særligt optaget af</w:t>
      </w:r>
      <w:r>
        <w:t>, at vi løser i det tværsektorielle sundhedssamarbejde?</w:t>
      </w:r>
    </w:p>
    <w:p w14:paraId="5D2377CB" w14:textId="77777777" w:rsidR="00504A38" w:rsidRDefault="00504A38" w:rsidP="00504A38"/>
    <w:p w14:paraId="34B79CE9" w14:textId="77777777" w:rsidR="00504A38" w:rsidRDefault="00504A38" w:rsidP="00504A38">
      <w:pPr>
        <w:pStyle w:val="Overskrift2"/>
        <w:rPr>
          <w:b/>
        </w:rPr>
      </w:pPr>
      <w:r w:rsidRPr="00504A38">
        <w:rPr>
          <w:b/>
        </w:rPr>
        <w:t xml:space="preserve">Sundhedskoordinationsudvalgets overleveringspapir </w:t>
      </w:r>
    </w:p>
    <w:p w14:paraId="030B5B48" w14:textId="2D3DDBCE" w:rsidR="00504A38" w:rsidRPr="00504A38" w:rsidRDefault="00504A38" w:rsidP="00504A38">
      <w:pPr>
        <w:autoSpaceDE w:val="0"/>
        <w:autoSpaceDN w:val="0"/>
        <w:adjustRightInd w:val="0"/>
        <w:rPr>
          <w:rFonts w:cstheme="minorHAnsi"/>
          <w:szCs w:val="20"/>
        </w:rPr>
      </w:pPr>
      <w:r w:rsidRPr="00504A38">
        <w:rPr>
          <w:rFonts w:cstheme="minorHAnsi"/>
          <w:szCs w:val="20"/>
        </w:rPr>
        <w:t xml:space="preserve">Det afgående Sundhedskoordinationsudvalget har udarbejdet et overleveringspapir, som det nyvalgte </w:t>
      </w:r>
      <w:r w:rsidR="002B5382">
        <w:rPr>
          <w:rFonts w:cstheme="minorHAnsi"/>
          <w:szCs w:val="20"/>
        </w:rPr>
        <w:t>Sundhedskoordinations</w:t>
      </w:r>
      <w:r w:rsidRPr="00504A38">
        <w:rPr>
          <w:rFonts w:cstheme="minorHAnsi"/>
          <w:szCs w:val="20"/>
        </w:rPr>
        <w:t xml:space="preserve">udvalg </w:t>
      </w:r>
      <w:r w:rsidR="00767C55">
        <w:rPr>
          <w:rFonts w:cstheme="minorHAnsi"/>
          <w:szCs w:val="20"/>
        </w:rPr>
        <w:t>kan bruge</w:t>
      </w:r>
      <w:r w:rsidRPr="00504A38">
        <w:rPr>
          <w:rFonts w:cstheme="minorHAnsi"/>
          <w:szCs w:val="20"/>
        </w:rPr>
        <w:t xml:space="preserve"> som </w:t>
      </w:r>
      <w:r w:rsidR="00767C55">
        <w:rPr>
          <w:rFonts w:cstheme="minorHAnsi"/>
          <w:szCs w:val="20"/>
        </w:rPr>
        <w:t>afsæt</w:t>
      </w:r>
      <w:r w:rsidRPr="00504A38">
        <w:rPr>
          <w:rFonts w:cstheme="minorHAnsi"/>
          <w:szCs w:val="20"/>
        </w:rPr>
        <w:t xml:space="preserve"> for deres arbejde. </w:t>
      </w:r>
    </w:p>
    <w:p w14:paraId="59109590" w14:textId="44B2B60D" w:rsidR="00B10786" w:rsidRDefault="00504A38" w:rsidP="00504A38">
      <w:pPr>
        <w:autoSpaceDE w:val="0"/>
        <w:autoSpaceDN w:val="0"/>
        <w:adjustRightInd w:val="0"/>
        <w:rPr>
          <w:rFonts w:cstheme="minorHAnsi"/>
          <w:szCs w:val="20"/>
        </w:rPr>
      </w:pPr>
      <w:r w:rsidRPr="00504A38">
        <w:rPr>
          <w:rFonts w:cstheme="minorHAnsi"/>
          <w:szCs w:val="20"/>
        </w:rPr>
        <w:t>Det afgående udvalg har været optaget af at videregive deres er</w:t>
      </w:r>
      <w:r w:rsidR="00B10786">
        <w:rPr>
          <w:rFonts w:cstheme="minorHAnsi"/>
          <w:szCs w:val="20"/>
        </w:rPr>
        <w:t>faringer, blandt andet fordi,</w:t>
      </w:r>
      <w:r w:rsidRPr="00504A38">
        <w:rPr>
          <w:rFonts w:cstheme="minorHAnsi"/>
          <w:szCs w:val="20"/>
        </w:rPr>
        <w:t xml:space="preserve"> de har oplevet, at det tager tid at komme ind i udvalgets arbejdsfelt og de sager</w:t>
      </w:r>
      <w:r w:rsidR="00B10786">
        <w:rPr>
          <w:rFonts w:cstheme="minorHAnsi"/>
          <w:szCs w:val="20"/>
        </w:rPr>
        <w:t xml:space="preserve">, der skal tages stilling til. De </w:t>
      </w:r>
      <w:r w:rsidR="002B5382">
        <w:rPr>
          <w:rFonts w:cstheme="minorHAnsi"/>
          <w:szCs w:val="20"/>
        </w:rPr>
        <w:t xml:space="preserve">håber, at </w:t>
      </w:r>
      <w:r w:rsidR="00B10786">
        <w:rPr>
          <w:rFonts w:cstheme="minorHAnsi"/>
          <w:szCs w:val="20"/>
        </w:rPr>
        <w:t xml:space="preserve">overleveringspapiret </w:t>
      </w:r>
      <w:r w:rsidR="002B5382">
        <w:rPr>
          <w:rFonts w:cstheme="minorHAnsi"/>
          <w:szCs w:val="20"/>
        </w:rPr>
        <w:t xml:space="preserve">vil være med til at sikre, at det nye Sundhedskoordinationsudvalg vil fortsætte det arbejde, som de overlader til dem. Det kræver dog, at det nye udvalg; </w:t>
      </w:r>
    </w:p>
    <w:p w14:paraId="6A53DC4E" w14:textId="40EC2D9D" w:rsidR="002B5382" w:rsidRPr="002B5382" w:rsidRDefault="002B5382" w:rsidP="002B5382">
      <w:pPr>
        <w:pStyle w:val="Listeafsnit"/>
        <w:numPr>
          <w:ilvl w:val="0"/>
          <w:numId w:val="13"/>
        </w:numPr>
        <w:autoSpaceDE w:val="0"/>
        <w:autoSpaceDN w:val="0"/>
        <w:adjustRightInd w:val="0"/>
        <w:rPr>
          <w:rFonts w:cstheme="minorHAnsi"/>
          <w:szCs w:val="20"/>
        </w:rPr>
      </w:pPr>
      <w:r>
        <w:rPr>
          <w:rFonts w:cstheme="minorHAnsi"/>
          <w:szCs w:val="20"/>
        </w:rPr>
        <w:t>s</w:t>
      </w:r>
      <w:r w:rsidRPr="002B5382">
        <w:rPr>
          <w:rFonts w:cstheme="minorHAnsi"/>
          <w:szCs w:val="20"/>
        </w:rPr>
        <w:t>tyrker det kommunale og regionale politiske ejerskab til sundhedsaftalen</w:t>
      </w:r>
    </w:p>
    <w:p w14:paraId="1454ECDE" w14:textId="4BF52DEF" w:rsidR="002B5382" w:rsidRPr="002B5382" w:rsidRDefault="002B5382" w:rsidP="002B5382">
      <w:pPr>
        <w:pStyle w:val="Listeafsnit"/>
        <w:numPr>
          <w:ilvl w:val="0"/>
          <w:numId w:val="13"/>
        </w:numPr>
        <w:autoSpaceDE w:val="0"/>
        <w:autoSpaceDN w:val="0"/>
        <w:adjustRightInd w:val="0"/>
        <w:rPr>
          <w:rFonts w:cstheme="minorHAnsi"/>
          <w:szCs w:val="20"/>
        </w:rPr>
      </w:pPr>
      <w:r>
        <w:rPr>
          <w:rFonts w:cstheme="minorHAnsi"/>
          <w:szCs w:val="20"/>
        </w:rPr>
        <w:t>s</w:t>
      </w:r>
      <w:r w:rsidRPr="002B5382">
        <w:rPr>
          <w:rFonts w:cstheme="minorHAnsi"/>
          <w:szCs w:val="20"/>
        </w:rPr>
        <w:t>ætter yderligere politisk retning, herunder påvirker den nationale dagsorden</w:t>
      </w:r>
    </w:p>
    <w:p w14:paraId="5A7B080D" w14:textId="6D61E715" w:rsidR="002B5382" w:rsidRPr="002B5382" w:rsidRDefault="002B5382" w:rsidP="002B5382">
      <w:pPr>
        <w:pStyle w:val="Listeafsnit"/>
        <w:numPr>
          <w:ilvl w:val="0"/>
          <w:numId w:val="13"/>
        </w:numPr>
        <w:autoSpaceDE w:val="0"/>
        <w:autoSpaceDN w:val="0"/>
        <w:adjustRightInd w:val="0"/>
        <w:rPr>
          <w:rFonts w:cstheme="minorHAnsi"/>
          <w:szCs w:val="20"/>
        </w:rPr>
      </w:pPr>
      <w:r>
        <w:rPr>
          <w:rFonts w:cstheme="minorHAnsi"/>
          <w:szCs w:val="20"/>
        </w:rPr>
        <w:t>s</w:t>
      </w:r>
      <w:r w:rsidRPr="002B5382">
        <w:rPr>
          <w:rFonts w:cstheme="minorHAnsi"/>
          <w:szCs w:val="20"/>
        </w:rPr>
        <w:t>kaber en dynamisk sundhedsaftale for 2019-2022 med få mål</w:t>
      </w:r>
    </w:p>
    <w:p w14:paraId="4EDB4425" w14:textId="571CD6B2" w:rsidR="002B5382" w:rsidRPr="002B5382" w:rsidRDefault="002B5382" w:rsidP="002B5382">
      <w:pPr>
        <w:pStyle w:val="Listeafsnit"/>
        <w:numPr>
          <w:ilvl w:val="0"/>
          <w:numId w:val="13"/>
        </w:numPr>
        <w:autoSpaceDE w:val="0"/>
        <w:autoSpaceDN w:val="0"/>
        <w:adjustRightInd w:val="0"/>
        <w:rPr>
          <w:rFonts w:cstheme="minorHAnsi"/>
          <w:szCs w:val="20"/>
        </w:rPr>
      </w:pPr>
      <w:r>
        <w:rPr>
          <w:rFonts w:cstheme="minorHAnsi"/>
          <w:szCs w:val="20"/>
        </w:rPr>
        <w:t>l</w:t>
      </w:r>
      <w:r w:rsidRPr="002B5382">
        <w:rPr>
          <w:rFonts w:cstheme="minorHAnsi"/>
          <w:szCs w:val="20"/>
        </w:rPr>
        <w:t>øbende formidler resultater af sundhedssamarbejdet og betydningen for de syddanske borgere</w:t>
      </w:r>
    </w:p>
    <w:p w14:paraId="13C31C5B" w14:textId="52336234" w:rsidR="00504A38" w:rsidRDefault="00767C55" w:rsidP="00504A38">
      <w:pPr>
        <w:autoSpaceDE w:val="0"/>
        <w:autoSpaceDN w:val="0"/>
        <w:adjustRightInd w:val="0"/>
        <w:rPr>
          <w:rFonts w:cstheme="minorHAnsi"/>
          <w:bCs/>
          <w:szCs w:val="20"/>
        </w:rPr>
      </w:pPr>
      <w:r w:rsidRPr="00767C55">
        <w:rPr>
          <w:rFonts w:cstheme="minorHAnsi"/>
          <w:bCs/>
          <w:szCs w:val="20"/>
        </w:rPr>
        <w:t xml:space="preserve">De afgående udvalg har sammenholdt de visioner, som hhv. de 22 kommuner, PLO Syddanmark og Region Syddanmark er optaget af. De har fundet frem til følgende ligheder, der er fremhævet i overleveringspapiret: </w:t>
      </w:r>
    </w:p>
    <w:p w14:paraId="184B4A59" w14:textId="06AA5477" w:rsidR="00767C55" w:rsidRDefault="00767C55" w:rsidP="00767C55">
      <w:pPr>
        <w:pStyle w:val="Listeafsnit"/>
        <w:numPr>
          <w:ilvl w:val="0"/>
          <w:numId w:val="14"/>
        </w:numPr>
        <w:autoSpaceDE w:val="0"/>
        <w:autoSpaceDN w:val="0"/>
        <w:adjustRightInd w:val="0"/>
        <w:rPr>
          <w:rFonts w:cstheme="minorHAnsi"/>
          <w:bCs/>
          <w:szCs w:val="20"/>
        </w:rPr>
      </w:pPr>
      <w:r>
        <w:rPr>
          <w:rFonts w:cstheme="minorHAnsi"/>
          <w:bCs/>
          <w:szCs w:val="20"/>
        </w:rPr>
        <w:t>Det nære og sammenhængende sundhedsvæsen</w:t>
      </w:r>
    </w:p>
    <w:p w14:paraId="6ECB41DB" w14:textId="39CFF75F" w:rsidR="00767C55" w:rsidRDefault="00767C55" w:rsidP="00767C55">
      <w:pPr>
        <w:pStyle w:val="Listeafsnit"/>
        <w:numPr>
          <w:ilvl w:val="0"/>
          <w:numId w:val="14"/>
        </w:numPr>
        <w:autoSpaceDE w:val="0"/>
        <w:autoSpaceDN w:val="0"/>
        <w:adjustRightInd w:val="0"/>
        <w:rPr>
          <w:rFonts w:cstheme="minorHAnsi"/>
          <w:bCs/>
          <w:szCs w:val="20"/>
        </w:rPr>
      </w:pPr>
      <w:r>
        <w:rPr>
          <w:rFonts w:cstheme="minorHAnsi"/>
          <w:bCs/>
          <w:szCs w:val="20"/>
        </w:rPr>
        <w:t>Lighed i sundhed</w:t>
      </w:r>
    </w:p>
    <w:p w14:paraId="0F61E662" w14:textId="3755328E" w:rsidR="00767C55" w:rsidRDefault="00767C55" w:rsidP="00767C55">
      <w:pPr>
        <w:pStyle w:val="Listeafsnit"/>
        <w:numPr>
          <w:ilvl w:val="0"/>
          <w:numId w:val="14"/>
        </w:numPr>
        <w:autoSpaceDE w:val="0"/>
        <w:autoSpaceDN w:val="0"/>
        <w:adjustRightInd w:val="0"/>
        <w:rPr>
          <w:rFonts w:cstheme="minorHAnsi"/>
          <w:bCs/>
          <w:szCs w:val="20"/>
        </w:rPr>
      </w:pPr>
      <w:r>
        <w:rPr>
          <w:rFonts w:cstheme="minorHAnsi"/>
          <w:bCs/>
          <w:szCs w:val="20"/>
        </w:rPr>
        <w:t>Et styrket tværsektorielt samarbejde</w:t>
      </w:r>
    </w:p>
    <w:p w14:paraId="3660B6E5" w14:textId="0C8C097B" w:rsidR="00767C55" w:rsidRDefault="00767C55" w:rsidP="00767C55">
      <w:pPr>
        <w:pStyle w:val="Listeafsnit"/>
        <w:numPr>
          <w:ilvl w:val="0"/>
          <w:numId w:val="14"/>
        </w:numPr>
        <w:autoSpaceDE w:val="0"/>
        <w:autoSpaceDN w:val="0"/>
        <w:adjustRightInd w:val="0"/>
        <w:rPr>
          <w:rFonts w:cstheme="minorHAnsi"/>
          <w:bCs/>
          <w:szCs w:val="20"/>
        </w:rPr>
      </w:pPr>
      <w:r>
        <w:rPr>
          <w:rFonts w:cstheme="minorHAnsi"/>
          <w:bCs/>
          <w:szCs w:val="20"/>
        </w:rPr>
        <w:t>Udvikle og styrke samarbejdet med borgeren og pårørende</w:t>
      </w:r>
    </w:p>
    <w:p w14:paraId="3DDAC388" w14:textId="01E41EF7" w:rsidR="00767C55" w:rsidRPr="00767C55" w:rsidRDefault="00767C55" w:rsidP="00767C55">
      <w:pPr>
        <w:pStyle w:val="Listeafsnit"/>
        <w:numPr>
          <w:ilvl w:val="0"/>
          <w:numId w:val="14"/>
        </w:numPr>
        <w:autoSpaceDE w:val="0"/>
        <w:autoSpaceDN w:val="0"/>
        <w:adjustRightInd w:val="0"/>
        <w:rPr>
          <w:rFonts w:cstheme="minorHAnsi"/>
          <w:bCs/>
          <w:szCs w:val="20"/>
        </w:rPr>
      </w:pPr>
      <w:r>
        <w:rPr>
          <w:rFonts w:cstheme="minorHAnsi"/>
          <w:bCs/>
          <w:szCs w:val="20"/>
        </w:rPr>
        <w:t>Et udvidet samarbejde med civilsamfundet</w:t>
      </w:r>
    </w:p>
    <w:p w14:paraId="6E3DB002" w14:textId="77777777" w:rsidR="00767C55" w:rsidRPr="00504A38" w:rsidRDefault="00767C55" w:rsidP="00504A38">
      <w:pPr>
        <w:autoSpaceDE w:val="0"/>
        <w:autoSpaceDN w:val="0"/>
        <w:adjustRightInd w:val="0"/>
        <w:rPr>
          <w:rFonts w:cstheme="minorHAnsi"/>
          <w:szCs w:val="20"/>
        </w:rPr>
      </w:pPr>
    </w:p>
    <w:p w14:paraId="3F238F6C" w14:textId="77777777" w:rsidR="00504A38" w:rsidRPr="00504A38" w:rsidRDefault="00504A38" w:rsidP="00504A38">
      <w:pPr>
        <w:autoSpaceDE w:val="0"/>
        <w:autoSpaceDN w:val="0"/>
        <w:adjustRightInd w:val="0"/>
        <w:rPr>
          <w:rFonts w:cstheme="minorHAnsi"/>
          <w:szCs w:val="20"/>
        </w:rPr>
      </w:pPr>
      <w:r w:rsidRPr="00504A38">
        <w:rPr>
          <w:rFonts w:cstheme="minorHAnsi"/>
          <w:b/>
          <w:bCs/>
          <w:szCs w:val="20"/>
        </w:rPr>
        <w:t>Anbefalinger til Sundhedsaftalen 2019-2022</w:t>
      </w:r>
    </w:p>
    <w:p w14:paraId="489B54A2" w14:textId="62D36CB8" w:rsidR="00C26453" w:rsidRPr="00C26453" w:rsidRDefault="00767C55" w:rsidP="00C26453">
      <w:pPr>
        <w:autoSpaceDE w:val="0"/>
        <w:autoSpaceDN w:val="0"/>
        <w:adjustRightInd w:val="0"/>
        <w:rPr>
          <w:rFonts w:cstheme="minorHAnsi"/>
          <w:szCs w:val="20"/>
        </w:rPr>
      </w:pPr>
      <w:r>
        <w:rPr>
          <w:rFonts w:cstheme="minorHAnsi"/>
          <w:szCs w:val="20"/>
        </w:rPr>
        <w:t>Det afgående udvalg har drøftet en række sundhedspolitiske udfordringer, som kan være af betydning for Sundhedsaftalen 2019-2022 og som kræver en helhedsorienterede indsats. Der er på den baggrund udvalgt følgende fokusområder:</w:t>
      </w:r>
      <w:r w:rsidR="00C26453" w:rsidRPr="00C26453">
        <w:rPr>
          <w:rFonts w:cstheme="minorHAnsi"/>
          <w:szCs w:val="20"/>
        </w:rPr>
        <w:t xml:space="preserve"> </w:t>
      </w:r>
    </w:p>
    <w:p w14:paraId="0A0AB328" w14:textId="77777777" w:rsidR="00C26453" w:rsidRPr="00C26453" w:rsidRDefault="00C26453" w:rsidP="00C26453">
      <w:pPr>
        <w:numPr>
          <w:ilvl w:val="0"/>
          <w:numId w:val="4"/>
        </w:numPr>
        <w:autoSpaceDE w:val="0"/>
        <w:autoSpaceDN w:val="0"/>
        <w:adjustRightInd w:val="0"/>
        <w:spacing w:after="0" w:line="240" w:lineRule="auto"/>
        <w:rPr>
          <w:rFonts w:cstheme="minorHAnsi"/>
          <w:szCs w:val="20"/>
        </w:rPr>
      </w:pPr>
      <w:r w:rsidRPr="00C26453">
        <w:rPr>
          <w:rFonts w:cstheme="minorHAnsi"/>
          <w:szCs w:val="20"/>
        </w:rPr>
        <w:t xml:space="preserve">Rygning </w:t>
      </w:r>
    </w:p>
    <w:p w14:paraId="5787B303" w14:textId="77777777" w:rsidR="00C26453" w:rsidRPr="00C26453" w:rsidRDefault="00C26453" w:rsidP="00C26453">
      <w:pPr>
        <w:numPr>
          <w:ilvl w:val="0"/>
          <w:numId w:val="4"/>
        </w:numPr>
        <w:autoSpaceDE w:val="0"/>
        <w:autoSpaceDN w:val="0"/>
        <w:adjustRightInd w:val="0"/>
        <w:spacing w:after="0" w:line="240" w:lineRule="auto"/>
        <w:rPr>
          <w:rFonts w:cstheme="minorHAnsi"/>
          <w:szCs w:val="20"/>
        </w:rPr>
      </w:pPr>
      <w:r w:rsidRPr="00C26453">
        <w:rPr>
          <w:rFonts w:cstheme="minorHAnsi"/>
          <w:szCs w:val="20"/>
        </w:rPr>
        <w:t xml:space="preserve">Psykisk sygdom </w:t>
      </w:r>
    </w:p>
    <w:p w14:paraId="0BEB5DBF" w14:textId="77777777" w:rsidR="00C26453" w:rsidRPr="00C26453" w:rsidRDefault="00C26453" w:rsidP="00C26453">
      <w:pPr>
        <w:numPr>
          <w:ilvl w:val="0"/>
          <w:numId w:val="4"/>
        </w:numPr>
        <w:autoSpaceDE w:val="0"/>
        <w:autoSpaceDN w:val="0"/>
        <w:adjustRightInd w:val="0"/>
        <w:spacing w:after="0" w:line="240" w:lineRule="auto"/>
        <w:rPr>
          <w:rFonts w:cstheme="minorHAnsi"/>
          <w:szCs w:val="20"/>
        </w:rPr>
      </w:pPr>
      <w:r w:rsidRPr="00C26453">
        <w:rPr>
          <w:rFonts w:cstheme="minorHAnsi"/>
          <w:szCs w:val="20"/>
        </w:rPr>
        <w:t xml:space="preserve">Børn og unges mentale sundhed </w:t>
      </w:r>
    </w:p>
    <w:p w14:paraId="5F783231" w14:textId="77777777" w:rsidR="00C26453" w:rsidRPr="00C26453" w:rsidRDefault="00C26453" w:rsidP="00C26453">
      <w:pPr>
        <w:numPr>
          <w:ilvl w:val="0"/>
          <w:numId w:val="4"/>
        </w:numPr>
        <w:autoSpaceDE w:val="0"/>
        <w:autoSpaceDN w:val="0"/>
        <w:adjustRightInd w:val="0"/>
        <w:spacing w:after="0" w:line="240" w:lineRule="auto"/>
        <w:rPr>
          <w:rFonts w:cstheme="minorHAnsi"/>
          <w:szCs w:val="20"/>
        </w:rPr>
      </w:pPr>
      <w:r w:rsidRPr="00C26453">
        <w:rPr>
          <w:rFonts w:cstheme="minorHAnsi"/>
          <w:szCs w:val="20"/>
        </w:rPr>
        <w:t xml:space="preserve">Den ældre medicinske patient </w:t>
      </w:r>
    </w:p>
    <w:p w14:paraId="212A586C" w14:textId="77777777" w:rsidR="00C26453" w:rsidRPr="00C26453" w:rsidRDefault="00C26453" w:rsidP="00C26453">
      <w:pPr>
        <w:numPr>
          <w:ilvl w:val="0"/>
          <w:numId w:val="4"/>
        </w:numPr>
        <w:autoSpaceDE w:val="0"/>
        <w:autoSpaceDN w:val="0"/>
        <w:adjustRightInd w:val="0"/>
        <w:spacing w:after="0" w:line="240" w:lineRule="auto"/>
        <w:rPr>
          <w:rFonts w:cstheme="minorHAnsi"/>
          <w:szCs w:val="20"/>
        </w:rPr>
      </w:pPr>
      <w:r w:rsidRPr="00C26453">
        <w:rPr>
          <w:rFonts w:cstheme="minorHAnsi"/>
          <w:szCs w:val="20"/>
        </w:rPr>
        <w:t xml:space="preserve">Senfølger af kræft </w:t>
      </w:r>
    </w:p>
    <w:p w14:paraId="708ED9CF" w14:textId="77777777" w:rsidR="00C26453" w:rsidRPr="00C26453" w:rsidRDefault="00C26453" w:rsidP="00C26453">
      <w:pPr>
        <w:numPr>
          <w:ilvl w:val="0"/>
          <w:numId w:val="4"/>
        </w:numPr>
        <w:autoSpaceDE w:val="0"/>
        <w:autoSpaceDN w:val="0"/>
        <w:adjustRightInd w:val="0"/>
        <w:spacing w:after="0" w:line="240" w:lineRule="auto"/>
        <w:rPr>
          <w:rFonts w:cstheme="minorHAnsi"/>
          <w:szCs w:val="20"/>
        </w:rPr>
      </w:pPr>
      <w:r w:rsidRPr="00C26453">
        <w:rPr>
          <w:rFonts w:cstheme="minorHAnsi"/>
          <w:szCs w:val="20"/>
        </w:rPr>
        <w:t xml:space="preserve">En tættere kobling mellem sundheds- og arbejdsmarkedsområdet </w:t>
      </w:r>
    </w:p>
    <w:p w14:paraId="3346CB58" w14:textId="77777777" w:rsidR="00C26453" w:rsidRDefault="00C26453" w:rsidP="00504A38">
      <w:pPr>
        <w:rPr>
          <w:b/>
        </w:rPr>
      </w:pPr>
    </w:p>
    <w:p w14:paraId="3DF3AD3C" w14:textId="77777777" w:rsidR="00504A38" w:rsidRPr="00504A38" w:rsidRDefault="00504A38" w:rsidP="00504A38">
      <w:pPr>
        <w:rPr>
          <w:b/>
        </w:rPr>
      </w:pPr>
      <w:r w:rsidRPr="00504A38">
        <w:rPr>
          <w:b/>
        </w:rPr>
        <w:t xml:space="preserve">Relevant spørgsmål til drøftelse </w:t>
      </w:r>
    </w:p>
    <w:p w14:paraId="4DB6D2A3" w14:textId="0775AFF0" w:rsidR="00504A38" w:rsidRPr="00274BAE" w:rsidRDefault="003E3861" w:rsidP="00504A38">
      <w:pPr>
        <w:pStyle w:val="Listeafsnit"/>
        <w:numPr>
          <w:ilvl w:val="0"/>
          <w:numId w:val="1"/>
        </w:numPr>
      </w:pPr>
      <w:r w:rsidRPr="00274BAE">
        <w:lastRenderedPageBreak/>
        <w:t>Hvilke politisk</w:t>
      </w:r>
      <w:r w:rsidR="00767C55" w:rsidRPr="00274BAE">
        <w:t>e</w:t>
      </w:r>
      <w:r w:rsidRPr="00274BAE">
        <w:t xml:space="preserve"> fokus</w:t>
      </w:r>
      <w:r w:rsidR="00767C55" w:rsidRPr="00274BAE">
        <w:t>områder</w:t>
      </w:r>
      <w:r w:rsidRPr="00274BAE">
        <w:t xml:space="preserve"> ønsker I </w:t>
      </w:r>
      <w:r w:rsidR="00767C55" w:rsidRPr="00274BAE">
        <w:t>at bringe ind i det</w:t>
      </w:r>
      <w:r w:rsidRPr="00274BAE">
        <w:t xml:space="preserve"> tværsektorielle </w:t>
      </w:r>
      <w:r w:rsidR="00767C55" w:rsidRPr="00274BAE">
        <w:t>sundhedssam</w:t>
      </w:r>
      <w:r w:rsidRPr="00274BAE">
        <w:t xml:space="preserve">arbejde? </w:t>
      </w:r>
    </w:p>
    <w:p w14:paraId="79BB9506" w14:textId="77777777" w:rsidR="00C26453" w:rsidRDefault="00C26453" w:rsidP="00504A38"/>
    <w:p w14:paraId="2C50F0E8" w14:textId="330F1819" w:rsidR="00504A38" w:rsidRDefault="00504A38" w:rsidP="00504A38">
      <w:pPr>
        <w:pStyle w:val="Overskrift2"/>
        <w:rPr>
          <w:b/>
        </w:rPr>
      </w:pPr>
      <w:r w:rsidRPr="00504A38">
        <w:rPr>
          <w:b/>
        </w:rPr>
        <w:t xml:space="preserve">Den nationale </w:t>
      </w:r>
      <w:r w:rsidR="002D733A">
        <w:rPr>
          <w:b/>
        </w:rPr>
        <w:t>sundhedspolitiske dagsorden</w:t>
      </w:r>
      <w:r w:rsidRPr="00504A38">
        <w:rPr>
          <w:b/>
        </w:rPr>
        <w:t xml:space="preserve"> </w:t>
      </w:r>
    </w:p>
    <w:p w14:paraId="54A79A0A" w14:textId="5EFF3227" w:rsidR="0088492D" w:rsidRDefault="0088492D" w:rsidP="00504A38">
      <w:r>
        <w:t>Sundhedsområdet er i konstant udvikling, og d</w:t>
      </w:r>
      <w:r w:rsidRPr="0088492D">
        <w:t xml:space="preserve">er er i disse år </w:t>
      </w:r>
      <w:r>
        <w:t xml:space="preserve">et nationalt </w:t>
      </w:r>
      <w:r w:rsidRPr="0088492D">
        <w:t xml:space="preserve">fokus på </w:t>
      </w:r>
      <w:r>
        <w:t xml:space="preserve">særligt </w:t>
      </w:r>
      <w:r w:rsidRPr="0088492D">
        <w:t>udviklingen af det nære og sammenhængende sundhedsvæsen</w:t>
      </w:r>
      <w:r>
        <w:t xml:space="preserve">. </w:t>
      </w:r>
      <w:r w:rsidRPr="0088492D">
        <w:t>Der er en lang række nationale organisationer og myndigheder, som har indflydelse på denne udvikling</w:t>
      </w:r>
      <w:r>
        <w:t xml:space="preserve">, herunder KL, Danske Regioner, Regeringen, Sundhedsstyrelsen etc. </w:t>
      </w:r>
    </w:p>
    <w:p w14:paraId="3836B326" w14:textId="42ABAD96" w:rsidR="00A42D52" w:rsidRDefault="0088492D" w:rsidP="00504A38">
      <w:r>
        <w:t>S</w:t>
      </w:r>
      <w:r w:rsidR="00A42D52">
        <w:t>iden udarbejdelsen af overleveringspapiret er der udsendt en række politiske udspil</w:t>
      </w:r>
      <w:r w:rsidR="0088620D">
        <w:t xml:space="preserve"> og strategier</w:t>
      </w:r>
      <w:r w:rsidR="00A42D52">
        <w:t>, der er relevant at forholde sig til. Det drejer sig særligt om følgende u</w:t>
      </w:r>
      <w:r w:rsidR="002D733A">
        <w:t>dspil (se bilag for en kortere præsentation)</w:t>
      </w:r>
      <w:r w:rsidR="00A42D52">
        <w:t xml:space="preserve">: </w:t>
      </w:r>
    </w:p>
    <w:p w14:paraId="25837B7E" w14:textId="77777777" w:rsidR="00A42D52" w:rsidRDefault="00A42D52" w:rsidP="00A42D52">
      <w:pPr>
        <w:pStyle w:val="Listeafsnit"/>
        <w:numPr>
          <w:ilvl w:val="0"/>
          <w:numId w:val="1"/>
        </w:numPr>
      </w:pPr>
      <w:r>
        <w:t>Sundheds- og Ældreministeriets udspil ”Sundhed, hvor du er”, december 2017</w:t>
      </w:r>
    </w:p>
    <w:p w14:paraId="40255D93" w14:textId="77777777" w:rsidR="00A42D52" w:rsidRDefault="00A42D52" w:rsidP="00A42D52">
      <w:pPr>
        <w:pStyle w:val="Listeafsnit"/>
        <w:numPr>
          <w:ilvl w:val="0"/>
          <w:numId w:val="1"/>
        </w:numPr>
      </w:pPr>
      <w:r>
        <w:t>KL’s udspil om sundhedsfremme og forebyggelse, januar 2018</w:t>
      </w:r>
    </w:p>
    <w:p w14:paraId="7483B135" w14:textId="77777777" w:rsidR="0088620D" w:rsidRDefault="0088620D" w:rsidP="00A42D52">
      <w:pPr>
        <w:pStyle w:val="Listeafsnit"/>
        <w:numPr>
          <w:ilvl w:val="0"/>
          <w:numId w:val="1"/>
        </w:numPr>
      </w:pPr>
      <w:r>
        <w:t xml:space="preserve">Sundheds- og Ældreministeriet, Finansministeriet, Danske Regioner og KL’s strategi for digital sundhed 2018-2022, januar 2018 </w:t>
      </w:r>
    </w:p>
    <w:p w14:paraId="4F2F2730" w14:textId="77777777" w:rsidR="0088492D" w:rsidRDefault="0088492D" w:rsidP="005F6511">
      <w:pPr>
        <w:rPr>
          <w:b/>
        </w:rPr>
      </w:pPr>
    </w:p>
    <w:p w14:paraId="28BD8133" w14:textId="77777777" w:rsidR="005F6511" w:rsidRPr="00504A38" w:rsidRDefault="005F6511" w:rsidP="005F6511">
      <w:pPr>
        <w:rPr>
          <w:b/>
        </w:rPr>
      </w:pPr>
      <w:r w:rsidRPr="00504A38">
        <w:rPr>
          <w:b/>
        </w:rPr>
        <w:t>Relevant spørgsmål til drøftelse</w:t>
      </w:r>
    </w:p>
    <w:p w14:paraId="09123B9A" w14:textId="1A8F15B7" w:rsidR="005F6511" w:rsidRDefault="002563B3" w:rsidP="005F6511">
      <w:pPr>
        <w:pStyle w:val="Listeafsnit"/>
        <w:numPr>
          <w:ilvl w:val="0"/>
          <w:numId w:val="1"/>
        </w:numPr>
      </w:pPr>
      <w:r>
        <w:t>Finder I, at der er fokusområder fra</w:t>
      </w:r>
      <w:r w:rsidR="005F6511">
        <w:t xml:space="preserve"> de nye nationale udspil,</w:t>
      </w:r>
      <w:r>
        <w:t xml:space="preserve"> der bør indgå i det tværsektorielle sundhedssamarbejde?</w:t>
      </w:r>
    </w:p>
    <w:p w14:paraId="6B76C384" w14:textId="77777777" w:rsidR="00A365CE" w:rsidRDefault="00A365CE" w:rsidP="005F6511">
      <w:pPr>
        <w:pStyle w:val="Overskrift1"/>
        <w:rPr>
          <w:b/>
        </w:rPr>
      </w:pPr>
    </w:p>
    <w:p w14:paraId="04413C5F" w14:textId="35F6846D" w:rsidR="005F6511" w:rsidRDefault="005F6511" w:rsidP="005F6511">
      <w:pPr>
        <w:pStyle w:val="Overskrift1"/>
        <w:rPr>
          <w:b/>
        </w:rPr>
      </w:pPr>
      <w:r w:rsidRPr="005F6511">
        <w:rPr>
          <w:b/>
        </w:rPr>
        <w:t>Bilag</w:t>
      </w:r>
      <w:r>
        <w:rPr>
          <w:b/>
        </w:rPr>
        <w:t xml:space="preserve"> – </w:t>
      </w:r>
      <w:r w:rsidR="002563B3">
        <w:rPr>
          <w:b/>
        </w:rPr>
        <w:t xml:space="preserve">kort opsummering af </w:t>
      </w:r>
      <w:r>
        <w:rPr>
          <w:b/>
        </w:rPr>
        <w:t>de nationale udspil</w:t>
      </w:r>
    </w:p>
    <w:p w14:paraId="7B32322A" w14:textId="55B5BEC2" w:rsidR="00504A38" w:rsidRPr="005F6511" w:rsidRDefault="005F6511" w:rsidP="005F6511">
      <w:pPr>
        <w:pStyle w:val="Overskrift1"/>
        <w:rPr>
          <w:b/>
        </w:rPr>
      </w:pPr>
      <w:r>
        <w:rPr>
          <w:b/>
        </w:rPr>
        <w:t xml:space="preserve"> </w:t>
      </w:r>
    </w:p>
    <w:p w14:paraId="4FBB7576" w14:textId="77777777" w:rsidR="00A42D52" w:rsidRPr="005F6511" w:rsidRDefault="00A42D52" w:rsidP="00504A38">
      <w:pPr>
        <w:rPr>
          <w:b/>
          <w:sz w:val="24"/>
        </w:rPr>
      </w:pPr>
      <w:r w:rsidRPr="005F6511">
        <w:rPr>
          <w:b/>
          <w:sz w:val="24"/>
        </w:rPr>
        <w:t>Sundheds- og Ældreministeriets udspil ”Sundhed, hvor du er”</w:t>
      </w:r>
    </w:p>
    <w:p w14:paraId="6596019D" w14:textId="09326A4B" w:rsidR="00A42D52" w:rsidRDefault="00CE1EC5" w:rsidP="00504A38">
      <w:r>
        <w:t xml:space="preserve">Regeringen nedsatte i 2016 et udvalg om det nære og sammenhængende sundhedsvæsen, der kom med 20 anbefalinger i juni 2017. </w:t>
      </w:r>
      <w:r w:rsidR="00A42D52">
        <w:t xml:space="preserve">Sundhedsministeren udsendte i december </w:t>
      </w:r>
      <w:r>
        <w:t xml:space="preserve">2017 en opfølgning på de anbefalinger. </w:t>
      </w:r>
      <w:r w:rsidR="00402672">
        <w:t>Udspillet indeholder otte initiativer, som lægger</w:t>
      </w:r>
      <w:r w:rsidR="00365D4D">
        <w:t xml:space="preserve"> en ramme for udviklingen på sundhedsområdet. Nogle af initiativerne har direkte betydning for den kommende sundhedsaftale, men det er primært som den omkringliggende ramme for udarbejdelse af aftalen. </w:t>
      </w:r>
    </w:p>
    <w:p w14:paraId="5508AC1A" w14:textId="77777777" w:rsidR="00C8396F" w:rsidRDefault="00C8396F" w:rsidP="00504A38"/>
    <w:tbl>
      <w:tblPr>
        <w:tblStyle w:val="Tabel-Git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1"/>
        <w:gridCol w:w="2195"/>
        <w:gridCol w:w="6852"/>
      </w:tblGrid>
      <w:tr w:rsidR="00C8396F" w14:paraId="4A14E6CC" w14:textId="77777777" w:rsidTr="00C06176">
        <w:tc>
          <w:tcPr>
            <w:tcW w:w="9628" w:type="dxa"/>
            <w:gridSpan w:val="3"/>
          </w:tcPr>
          <w:p w14:paraId="4464E980" w14:textId="77777777" w:rsidR="00C8396F" w:rsidRDefault="00C8396F" w:rsidP="00C8396F">
            <w:pPr>
              <w:jc w:val="center"/>
              <w:rPr>
                <w:b/>
              </w:rPr>
            </w:pPr>
            <w:r w:rsidRPr="00C8396F">
              <w:rPr>
                <w:b/>
              </w:rPr>
              <w:t>Initiativer i ”Sundhed, hvor du er”</w:t>
            </w:r>
          </w:p>
          <w:p w14:paraId="6DD2C678" w14:textId="2AD83B3A" w:rsidR="00402672" w:rsidRPr="00C8396F" w:rsidRDefault="00402672" w:rsidP="00C8396F">
            <w:pPr>
              <w:jc w:val="center"/>
              <w:rPr>
                <w:b/>
              </w:rPr>
            </w:pPr>
          </w:p>
        </w:tc>
      </w:tr>
      <w:tr w:rsidR="00C8396F" w14:paraId="3F22EBB0" w14:textId="77777777" w:rsidTr="00C06176">
        <w:tc>
          <w:tcPr>
            <w:tcW w:w="561" w:type="dxa"/>
          </w:tcPr>
          <w:p w14:paraId="1EE70E08" w14:textId="6436393E" w:rsidR="00C8396F" w:rsidRPr="00402672" w:rsidRDefault="00C8396F" w:rsidP="00504A38">
            <w:pPr>
              <w:rPr>
                <w:b/>
              </w:rPr>
            </w:pPr>
            <w:r w:rsidRPr="00402672">
              <w:rPr>
                <w:b/>
              </w:rPr>
              <w:t>Nr.</w:t>
            </w:r>
          </w:p>
        </w:tc>
        <w:tc>
          <w:tcPr>
            <w:tcW w:w="2195" w:type="dxa"/>
          </w:tcPr>
          <w:p w14:paraId="21120E4B" w14:textId="0F3EE342" w:rsidR="00C8396F" w:rsidRPr="00402672" w:rsidRDefault="00C8396F" w:rsidP="00504A38">
            <w:pPr>
              <w:rPr>
                <w:b/>
              </w:rPr>
            </w:pPr>
            <w:r w:rsidRPr="00402672">
              <w:rPr>
                <w:b/>
              </w:rPr>
              <w:t>Tema</w:t>
            </w:r>
          </w:p>
        </w:tc>
        <w:tc>
          <w:tcPr>
            <w:tcW w:w="6872" w:type="dxa"/>
          </w:tcPr>
          <w:p w14:paraId="4CBB0E5D" w14:textId="7AA10562" w:rsidR="00C8396F" w:rsidRPr="00402672" w:rsidRDefault="00C8396F" w:rsidP="00504A38">
            <w:pPr>
              <w:rPr>
                <w:b/>
              </w:rPr>
            </w:pPr>
            <w:r w:rsidRPr="00402672">
              <w:rPr>
                <w:b/>
              </w:rPr>
              <w:t>Initiativ</w:t>
            </w:r>
          </w:p>
        </w:tc>
      </w:tr>
      <w:tr w:rsidR="00C8396F" w14:paraId="22EDB2CF" w14:textId="77777777" w:rsidTr="00C06176">
        <w:tc>
          <w:tcPr>
            <w:tcW w:w="561" w:type="dxa"/>
          </w:tcPr>
          <w:p w14:paraId="39B899FA" w14:textId="0E587977" w:rsidR="00C8396F" w:rsidRDefault="00C8396F" w:rsidP="00504A38">
            <w:r>
              <w:t>1</w:t>
            </w:r>
          </w:p>
        </w:tc>
        <w:tc>
          <w:tcPr>
            <w:tcW w:w="2195" w:type="dxa"/>
          </w:tcPr>
          <w:p w14:paraId="282C8C8C" w14:textId="77777777" w:rsidR="00C8396F" w:rsidRDefault="00C8396F" w:rsidP="00C8396F">
            <w:r>
              <w:t>Høj kvalitet i de nære sundhedstilbud</w:t>
            </w:r>
          </w:p>
          <w:p w14:paraId="79F7D9E4" w14:textId="77777777" w:rsidR="00C8396F" w:rsidRDefault="00C8396F" w:rsidP="00504A38"/>
        </w:tc>
        <w:tc>
          <w:tcPr>
            <w:tcW w:w="6872" w:type="dxa"/>
          </w:tcPr>
          <w:p w14:paraId="6C02CA89" w14:textId="77777777" w:rsidR="00C8396F" w:rsidRDefault="00C8396F" w:rsidP="00C8396F">
            <w:r>
              <w:t xml:space="preserve">Regeringen vil i 2018 præsentere rammen for en national kvalitetsplan for det nære og sammenhængende sundhedsvæsen. </w:t>
            </w:r>
          </w:p>
          <w:p w14:paraId="346F0A5F" w14:textId="77777777" w:rsidR="00C8396F" w:rsidRDefault="00C8396F" w:rsidP="00504A38"/>
        </w:tc>
      </w:tr>
      <w:tr w:rsidR="00C8396F" w14:paraId="0755C4DF" w14:textId="77777777" w:rsidTr="00C06176">
        <w:tc>
          <w:tcPr>
            <w:tcW w:w="561" w:type="dxa"/>
          </w:tcPr>
          <w:p w14:paraId="13F16FF1" w14:textId="2D7F1985" w:rsidR="00C8396F" w:rsidRDefault="00402672" w:rsidP="00504A38">
            <w:r>
              <w:t>2</w:t>
            </w:r>
          </w:p>
        </w:tc>
        <w:tc>
          <w:tcPr>
            <w:tcW w:w="2195" w:type="dxa"/>
          </w:tcPr>
          <w:p w14:paraId="41141C47" w14:textId="77777777" w:rsidR="00402672" w:rsidRDefault="00402672" w:rsidP="00402672">
            <w:r>
              <w:t>Flere og bedre læge- og sundhedshuse</w:t>
            </w:r>
          </w:p>
          <w:p w14:paraId="306021A1" w14:textId="77777777" w:rsidR="00C8396F" w:rsidRDefault="00C8396F" w:rsidP="00504A38"/>
        </w:tc>
        <w:tc>
          <w:tcPr>
            <w:tcW w:w="6872" w:type="dxa"/>
          </w:tcPr>
          <w:p w14:paraId="61AF7223" w14:textId="77777777" w:rsidR="00402672" w:rsidRDefault="00402672" w:rsidP="00402672">
            <w:r>
              <w:t>Regeringen vil udmønte 200 mio. kr. til flere og bedre læge- og sundhedshuse.</w:t>
            </w:r>
          </w:p>
          <w:p w14:paraId="72F6F65A" w14:textId="77777777" w:rsidR="00C8396F" w:rsidRDefault="00C8396F" w:rsidP="00504A38"/>
        </w:tc>
      </w:tr>
      <w:tr w:rsidR="00C8396F" w14:paraId="6ED393B0" w14:textId="77777777" w:rsidTr="00C06176">
        <w:tc>
          <w:tcPr>
            <w:tcW w:w="561" w:type="dxa"/>
          </w:tcPr>
          <w:p w14:paraId="006E6154" w14:textId="34B65422" w:rsidR="00C8396F" w:rsidRDefault="00402672" w:rsidP="00504A38">
            <w:r>
              <w:lastRenderedPageBreak/>
              <w:t>3</w:t>
            </w:r>
          </w:p>
        </w:tc>
        <w:tc>
          <w:tcPr>
            <w:tcW w:w="2195" w:type="dxa"/>
          </w:tcPr>
          <w:p w14:paraId="00483921" w14:textId="77777777" w:rsidR="00402672" w:rsidRDefault="00402672" w:rsidP="00402672">
            <w:r>
              <w:t>En mere fleksibel opgaveoverdragelse i kommunerne</w:t>
            </w:r>
          </w:p>
          <w:p w14:paraId="25987D7A" w14:textId="77777777" w:rsidR="00C8396F" w:rsidRDefault="00C8396F" w:rsidP="00504A38"/>
        </w:tc>
        <w:tc>
          <w:tcPr>
            <w:tcW w:w="6872" w:type="dxa"/>
          </w:tcPr>
          <w:p w14:paraId="006F2E76" w14:textId="77777777" w:rsidR="00402672" w:rsidRDefault="00402672" w:rsidP="00402672">
            <w:r>
              <w:t xml:space="preserve">Regeringen vil sikre fleksible rammer for opgavevaretagelsen i kommunerne. </w:t>
            </w:r>
          </w:p>
          <w:p w14:paraId="6612805E" w14:textId="77777777" w:rsidR="00C8396F" w:rsidRDefault="00C8396F" w:rsidP="00504A38"/>
        </w:tc>
      </w:tr>
      <w:tr w:rsidR="00C8396F" w14:paraId="77DC3E78" w14:textId="77777777" w:rsidTr="00C06176">
        <w:tc>
          <w:tcPr>
            <w:tcW w:w="561" w:type="dxa"/>
          </w:tcPr>
          <w:p w14:paraId="45D5C0EC" w14:textId="2F54BBE2" w:rsidR="00C8396F" w:rsidRDefault="00402672" w:rsidP="00504A38">
            <w:r>
              <w:t>4</w:t>
            </w:r>
          </w:p>
        </w:tc>
        <w:tc>
          <w:tcPr>
            <w:tcW w:w="2195" w:type="dxa"/>
          </w:tcPr>
          <w:p w14:paraId="38270AE8" w14:textId="77777777" w:rsidR="00402672" w:rsidRDefault="00402672" w:rsidP="00402672">
            <w:r>
              <w:t xml:space="preserve">Ny generation af forpligtende sundhedsaftaler </w:t>
            </w:r>
          </w:p>
          <w:p w14:paraId="3456EC7C" w14:textId="77777777" w:rsidR="00C8396F" w:rsidRDefault="00C8396F" w:rsidP="00504A38"/>
        </w:tc>
        <w:tc>
          <w:tcPr>
            <w:tcW w:w="6872" w:type="dxa"/>
          </w:tcPr>
          <w:p w14:paraId="304383EE" w14:textId="77777777" w:rsidR="00402672" w:rsidRDefault="00402672" w:rsidP="00402672">
            <w:r>
              <w:t xml:space="preserve">Regeringen vil understøtte, at de kommende sundhedsaftaler bliver mere politisk forpligtende og mindre bureaukratiske. </w:t>
            </w:r>
          </w:p>
          <w:p w14:paraId="05BB2738" w14:textId="77777777" w:rsidR="00C8396F" w:rsidRDefault="00C8396F" w:rsidP="00504A38"/>
        </w:tc>
      </w:tr>
      <w:tr w:rsidR="00C8396F" w14:paraId="0CD88EBF" w14:textId="77777777" w:rsidTr="00C06176">
        <w:tc>
          <w:tcPr>
            <w:tcW w:w="561" w:type="dxa"/>
          </w:tcPr>
          <w:p w14:paraId="57558B76" w14:textId="3C64F3E1" w:rsidR="00C8396F" w:rsidRDefault="00402672" w:rsidP="00504A38">
            <w:r>
              <w:t>5</w:t>
            </w:r>
          </w:p>
        </w:tc>
        <w:tc>
          <w:tcPr>
            <w:tcW w:w="2195" w:type="dxa"/>
          </w:tcPr>
          <w:p w14:paraId="37BC1174" w14:textId="77777777" w:rsidR="00402672" w:rsidRDefault="00402672" w:rsidP="00402672">
            <w:r>
              <w:t>Bedre specialistrådgivning fra sygehuse</w:t>
            </w:r>
          </w:p>
          <w:p w14:paraId="07D4101A" w14:textId="77777777" w:rsidR="00C8396F" w:rsidRDefault="00C8396F" w:rsidP="00504A38"/>
        </w:tc>
        <w:tc>
          <w:tcPr>
            <w:tcW w:w="6872" w:type="dxa"/>
          </w:tcPr>
          <w:p w14:paraId="61CE0CBB" w14:textId="77777777" w:rsidR="00402672" w:rsidRDefault="00402672" w:rsidP="00402672">
            <w:r>
              <w:t xml:space="preserve">Regeringen vil sikre mere og bedre rådgivning fra sygehuse til kommunerne og almen praksis  </w:t>
            </w:r>
          </w:p>
          <w:p w14:paraId="6D7A6DF0" w14:textId="77777777" w:rsidR="00C8396F" w:rsidRDefault="00C8396F" w:rsidP="00504A38"/>
        </w:tc>
      </w:tr>
      <w:tr w:rsidR="00C8396F" w14:paraId="4F343A6D" w14:textId="77777777" w:rsidTr="00C06176">
        <w:tc>
          <w:tcPr>
            <w:tcW w:w="561" w:type="dxa"/>
          </w:tcPr>
          <w:p w14:paraId="6AE8E0EB" w14:textId="67A3AACC" w:rsidR="00C8396F" w:rsidRDefault="00402672" w:rsidP="00504A38">
            <w:r>
              <w:t>6</w:t>
            </w:r>
          </w:p>
        </w:tc>
        <w:tc>
          <w:tcPr>
            <w:tcW w:w="2195" w:type="dxa"/>
          </w:tcPr>
          <w:p w14:paraId="5700E5D3" w14:textId="77777777" w:rsidR="00402672" w:rsidRDefault="00402672" w:rsidP="00402672">
            <w:r>
              <w:t xml:space="preserve">Bedre organisering af området for hjælpemidler og behandlingsredskaber  </w:t>
            </w:r>
          </w:p>
          <w:p w14:paraId="030985AB" w14:textId="77777777" w:rsidR="00C8396F" w:rsidRDefault="00C8396F" w:rsidP="00504A38"/>
        </w:tc>
        <w:tc>
          <w:tcPr>
            <w:tcW w:w="6872" w:type="dxa"/>
          </w:tcPr>
          <w:p w14:paraId="37F3021F" w14:textId="77777777" w:rsidR="00402672" w:rsidRDefault="00402672" w:rsidP="00402672">
            <w:r>
              <w:t xml:space="preserve">Regeringen vil opdatere reglerne for behandlingsredskaber og hjælpemidler, så der ikke opstår tvivl om fx patientens overgang fra sygehus til kommune </w:t>
            </w:r>
          </w:p>
          <w:p w14:paraId="1F59B2FC" w14:textId="77777777" w:rsidR="00C8396F" w:rsidRDefault="00C8396F" w:rsidP="00504A38"/>
        </w:tc>
      </w:tr>
      <w:tr w:rsidR="00C8396F" w14:paraId="326E0EF0" w14:textId="77777777" w:rsidTr="00C06176">
        <w:tc>
          <w:tcPr>
            <w:tcW w:w="561" w:type="dxa"/>
          </w:tcPr>
          <w:p w14:paraId="21B24004" w14:textId="43CBC5B8" w:rsidR="00C8396F" w:rsidRDefault="00402672" w:rsidP="00504A38">
            <w:r>
              <w:t>7</w:t>
            </w:r>
          </w:p>
        </w:tc>
        <w:tc>
          <w:tcPr>
            <w:tcW w:w="2195" w:type="dxa"/>
          </w:tcPr>
          <w:p w14:paraId="4325C2BB" w14:textId="77777777" w:rsidR="00402672" w:rsidRDefault="00402672" w:rsidP="00402672">
            <w:r>
              <w:t>Bedre sammenhæng i behandlingen af patienter med misbrug og samtidig psykiske lidelser</w:t>
            </w:r>
          </w:p>
          <w:p w14:paraId="4E4E99D1" w14:textId="77777777" w:rsidR="00C8396F" w:rsidRDefault="00C8396F" w:rsidP="00504A38"/>
        </w:tc>
        <w:tc>
          <w:tcPr>
            <w:tcW w:w="6872" w:type="dxa"/>
          </w:tcPr>
          <w:p w14:paraId="2B9DA8FC" w14:textId="77777777" w:rsidR="00402672" w:rsidRDefault="00402672" w:rsidP="00402672">
            <w:r>
              <w:t xml:space="preserve">Regeringen vil samle misbrugsbehandlingen på sundhedsområdet for mennesker med psykiske lidelser i regionerne.  </w:t>
            </w:r>
          </w:p>
          <w:p w14:paraId="386FC1E4" w14:textId="77777777" w:rsidR="00C8396F" w:rsidRDefault="00C8396F" w:rsidP="00504A38"/>
        </w:tc>
      </w:tr>
      <w:tr w:rsidR="00C8396F" w14:paraId="3597460F" w14:textId="77777777" w:rsidTr="00C06176">
        <w:tc>
          <w:tcPr>
            <w:tcW w:w="561" w:type="dxa"/>
          </w:tcPr>
          <w:p w14:paraId="433FCF20" w14:textId="31DC9E1C" w:rsidR="00C8396F" w:rsidRDefault="00402672" w:rsidP="00504A38">
            <w:r>
              <w:t>8</w:t>
            </w:r>
          </w:p>
        </w:tc>
        <w:tc>
          <w:tcPr>
            <w:tcW w:w="2195" w:type="dxa"/>
          </w:tcPr>
          <w:p w14:paraId="383BE555" w14:textId="77777777" w:rsidR="00402672" w:rsidRDefault="00402672" w:rsidP="00402672">
            <w:r>
              <w:t>Gode overgange fra børn- og ungepsykiatri til voksenpsykiatri</w:t>
            </w:r>
          </w:p>
          <w:p w14:paraId="01F9D279" w14:textId="77777777" w:rsidR="00C8396F" w:rsidRDefault="00C8396F" w:rsidP="00504A38"/>
        </w:tc>
        <w:tc>
          <w:tcPr>
            <w:tcW w:w="6872" w:type="dxa"/>
          </w:tcPr>
          <w:p w14:paraId="78CA0F87" w14:textId="77777777" w:rsidR="00402672" w:rsidRPr="00A42D52" w:rsidRDefault="00402672" w:rsidP="00402672">
            <w:r>
              <w:t xml:space="preserve">Sundhedsstyrelsen vil sikre en praksis, der skal understøtte en bedre overgang fra børn- og ungepsykiatri til voksenpsykiatri. </w:t>
            </w:r>
          </w:p>
          <w:p w14:paraId="680C293F" w14:textId="77777777" w:rsidR="00C8396F" w:rsidRDefault="00C8396F" w:rsidP="00504A38"/>
        </w:tc>
      </w:tr>
    </w:tbl>
    <w:p w14:paraId="4DFBCB0A" w14:textId="77777777" w:rsidR="00062A86" w:rsidRDefault="00062A86" w:rsidP="00504A38">
      <w:pPr>
        <w:rPr>
          <w:b/>
        </w:rPr>
      </w:pPr>
    </w:p>
    <w:p w14:paraId="4FA92210" w14:textId="77777777" w:rsidR="00A42D52" w:rsidRPr="005F6511" w:rsidRDefault="00062A86" w:rsidP="00504A38">
      <w:pPr>
        <w:rPr>
          <w:b/>
          <w:sz w:val="24"/>
        </w:rPr>
      </w:pPr>
      <w:r w:rsidRPr="005F6511">
        <w:rPr>
          <w:b/>
          <w:sz w:val="24"/>
        </w:rPr>
        <w:t xml:space="preserve">KL’s udspil om sundhedsfremme og forebyggelse </w:t>
      </w:r>
    </w:p>
    <w:p w14:paraId="268C9B14" w14:textId="77777777" w:rsidR="00CE7E2C" w:rsidRPr="00CE7E2C" w:rsidRDefault="00CE7E2C" w:rsidP="00CE7E2C">
      <w:r w:rsidRPr="00CE7E2C">
        <w:t>KL præsenterede d. 16. januar 2018 deres udspil 'Foreby</w:t>
      </w:r>
      <w:r>
        <w:t>ggelse for fremtiden‘, der med seks</w:t>
      </w:r>
      <w:r w:rsidRPr="00CE7E2C">
        <w:t xml:space="preserve"> pejlemærker skal gøre en forskel for borgernes sundhed.</w:t>
      </w:r>
    </w:p>
    <w:p w14:paraId="7B260AE1" w14:textId="77777777" w:rsidR="00CE7E2C" w:rsidRDefault="00CE7E2C" w:rsidP="00CE7E2C">
      <w:r>
        <w:t>Det drejer sig nærmere bestemt om seks</w:t>
      </w:r>
      <w:r w:rsidRPr="00CE7E2C">
        <w:t xml:space="preserve"> pejlemærker for forebyggelse </w:t>
      </w:r>
      <w:r>
        <w:t>i</w:t>
      </w:r>
      <w:r w:rsidRPr="00CE7E2C">
        <w:t xml:space="preserve"> fremtiden. Hvert pejlemærke indeholder en række anbefalinger stilet mod såvel kommunerne som andre aktører, der beskæftiger sig med forebyggelse. Udspillet er en invitation til lokalt og nationalt at drøfte, hvordan vi i fællesskab investerer i forebyggelsen og tager et medansvar som borgere, civilsamfund, erhvervsliv, stat, regioner og kommuner.</w:t>
      </w:r>
    </w:p>
    <w:p w14:paraId="7D7C57EA" w14:textId="77777777" w:rsidR="00CE7E2C" w:rsidRPr="00CE7E2C" w:rsidRDefault="00CE7E2C" w:rsidP="00CE7E2C"/>
    <w:p w14:paraId="2645A7B7" w14:textId="77777777" w:rsidR="00726BC0" w:rsidRPr="00CE7E2C" w:rsidRDefault="002745A4" w:rsidP="00CE7E2C">
      <w:pPr>
        <w:numPr>
          <w:ilvl w:val="0"/>
          <w:numId w:val="7"/>
        </w:numPr>
      </w:pPr>
      <w:r w:rsidRPr="00CE7E2C">
        <w:t>Alle skal have mulighed for et sundt liv – fælles ansvar og kvalitet i indsatsen</w:t>
      </w:r>
    </w:p>
    <w:p w14:paraId="593FED1F" w14:textId="77777777" w:rsidR="00726BC0" w:rsidRPr="00CE7E2C" w:rsidRDefault="002745A4" w:rsidP="00CE7E2C">
      <w:pPr>
        <w:numPr>
          <w:ilvl w:val="0"/>
          <w:numId w:val="7"/>
        </w:numPr>
      </w:pPr>
      <w:r w:rsidRPr="00CE7E2C">
        <w:t>Alle børn skal have en sund start på livet, der fremmer deres trivsel, udvikling og læring</w:t>
      </w:r>
    </w:p>
    <w:p w14:paraId="0478AFB5" w14:textId="77777777" w:rsidR="00726BC0" w:rsidRPr="00CE7E2C" w:rsidRDefault="002745A4" w:rsidP="00CE7E2C">
      <w:pPr>
        <w:numPr>
          <w:ilvl w:val="0"/>
          <w:numId w:val="7"/>
        </w:numPr>
      </w:pPr>
      <w:r w:rsidRPr="00CE7E2C">
        <w:t>Alle unge skal have plads i fællesskabet og komme godt på vej i uddannelse og job</w:t>
      </w:r>
    </w:p>
    <w:p w14:paraId="24F96662" w14:textId="77777777" w:rsidR="00726BC0" w:rsidRPr="00CE7E2C" w:rsidRDefault="002745A4" w:rsidP="00CE7E2C">
      <w:pPr>
        <w:numPr>
          <w:ilvl w:val="0"/>
          <w:numId w:val="7"/>
        </w:numPr>
      </w:pPr>
      <w:r w:rsidRPr="00CE7E2C">
        <w:t>Flere skal vælge et røgfrit liv, og ingen børn og unge skal begynde at ryge</w:t>
      </w:r>
    </w:p>
    <w:p w14:paraId="0ED976DA" w14:textId="77777777" w:rsidR="00726BC0" w:rsidRPr="00CE7E2C" w:rsidRDefault="002745A4" w:rsidP="00CE7E2C">
      <w:pPr>
        <w:numPr>
          <w:ilvl w:val="0"/>
          <w:numId w:val="7"/>
        </w:numPr>
      </w:pPr>
      <w:r w:rsidRPr="00CE7E2C">
        <w:lastRenderedPageBreak/>
        <w:t>Flere skal drikke mindre, og ingen børn og unges liv må skades af alkohol</w:t>
      </w:r>
    </w:p>
    <w:p w14:paraId="47B133FB" w14:textId="77777777" w:rsidR="00726BC0" w:rsidRPr="00CE7E2C" w:rsidRDefault="002745A4" w:rsidP="00CE7E2C">
      <w:pPr>
        <w:numPr>
          <w:ilvl w:val="0"/>
          <w:numId w:val="7"/>
        </w:numPr>
      </w:pPr>
      <w:r w:rsidRPr="00CE7E2C">
        <w:t>Flere skal leve et liv med bedre mental sundhed og trivsel</w:t>
      </w:r>
    </w:p>
    <w:p w14:paraId="7423F328" w14:textId="77777777" w:rsidR="00062A86" w:rsidRDefault="00062A86" w:rsidP="00504A38">
      <w:pPr>
        <w:rPr>
          <w:b/>
        </w:rPr>
      </w:pPr>
    </w:p>
    <w:p w14:paraId="2234309B" w14:textId="77777777" w:rsidR="00CE7E2C" w:rsidRPr="00CE7E2C" w:rsidRDefault="00CE7E2C" w:rsidP="00CE7E2C">
      <w:r w:rsidRPr="00CE7E2C">
        <w:t>Med udspillet anbefaler KL bl.a., at kommunerne tager stilling til at indføre røgfri skoletid for elever på alle kommunens grundskoler, så røgfrihed gælder i hele skoletiden også uden for skolens matrikel. KL anbefaler desuden, at staten og erhvervslivet tager større fælles ansvar for en effektiv håndhævelse af reglerne om salg af alkohol og begrænser tilgængeligheden af alkohol for børn og unge, fx ved at hæve aldersgrænsen for køb af alle former for alkohol til 18 år.</w:t>
      </w:r>
    </w:p>
    <w:p w14:paraId="47397383" w14:textId="77777777" w:rsidR="00CE7E2C" w:rsidRPr="00CE7E2C" w:rsidRDefault="00CE7E2C" w:rsidP="00CE7E2C">
      <w:r w:rsidRPr="00CE7E2C">
        <w:t>Derudover anbefaler KL også, at kommunerne samarbejder med ungdomsuddannelserne om indsatser, der kan forebygge frafald, mistrivsel og rusmiddelbrug, og at sygehuse og almen praksis systematisk henviser til de kommunale forebyggelsestilbud fx til kommunale rygstoptilbud eller kommunal alkoholrådgivning.</w:t>
      </w:r>
    </w:p>
    <w:p w14:paraId="02115431" w14:textId="77777777" w:rsidR="00CE7E2C" w:rsidRDefault="00CE7E2C" w:rsidP="00504A38">
      <w:pPr>
        <w:rPr>
          <w:b/>
        </w:rPr>
      </w:pPr>
    </w:p>
    <w:p w14:paraId="6DD788FB" w14:textId="77777777" w:rsidR="0088620D" w:rsidRPr="005F6511" w:rsidRDefault="0088620D" w:rsidP="0088620D">
      <w:pPr>
        <w:rPr>
          <w:b/>
          <w:sz w:val="24"/>
        </w:rPr>
      </w:pPr>
      <w:r w:rsidRPr="005F6511">
        <w:rPr>
          <w:b/>
          <w:sz w:val="24"/>
        </w:rPr>
        <w:t xml:space="preserve">Sundheds- og Ældreministeriet, Finansministeriet, Danske Regioner og KL’s strategi for digital sundhed 2018-2022, januar 2018 </w:t>
      </w:r>
    </w:p>
    <w:p w14:paraId="00AEF356" w14:textId="747ADA07" w:rsidR="00D442F6" w:rsidRDefault="0088620D" w:rsidP="00504A38">
      <w:r w:rsidRPr="00D442F6">
        <w:t>Strategi for digital sundhed 2018-2022</w:t>
      </w:r>
      <w:r w:rsidR="00402672">
        <w:t xml:space="preserve"> </w:t>
      </w:r>
      <w:r w:rsidRPr="00D442F6">
        <w:t xml:space="preserve">følger af økonomiaftalen mellem regeringen, Danske Regioner og KL for 2018. Strategien skal sikre den fortsatte bevægelse mod en </w:t>
      </w:r>
      <w:r w:rsidR="00D442F6" w:rsidRPr="00D442F6">
        <w:t>helhedsorienteret indsats, hvor sygehuse, kommunale sundhedstilbud og praksissektoren kan samarbejde i et integreret netværk.</w:t>
      </w:r>
      <w:r w:rsidR="00D442F6">
        <w:t xml:space="preserve"> Strategien handler om at lykkes i fællesskab med det, der går på tværs. </w:t>
      </w:r>
    </w:p>
    <w:p w14:paraId="52B9CEE2" w14:textId="7660E84E" w:rsidR="00D442F6" w:rsidRDefault="00D442F6" w:rsidP="00504A38">
      <w:r>
        <w:t xml:space="preserve">Strategien definerer fem indsatsområder, som er valgt ud fra en målsætning om at sætte borgerens behov i centrum og gøre hverdagen lettere for sundhedspersoner. </w:t>
      </w:r>
    </w:p>
    <w:tbl>
      <w:tblPr>
        <w:tblStyle w:val="Tabel-Gitter"/>
        <w:tblW w:w="0" w:type="auto"/>
        <w:tblLook w:val="04A0" w:firstRow="1" w:lastRow="0" w:firstColumn="1" w:lastColumn="0" w:noHBand="0" w:noVBand="1"/>
      </w:tblPr>
      <w:tblGrid>
        <w:gridCol w:w="561"/>
        <w:gridCol w:w="2690"/>
        <w:gridCol w:w="6357"/>
      </w:tblGrid>
      <w:tr w:rsidR="00365D4D" w14:paraId="2B0BC463" w14:textId="77777777" w:rsidTr="00C06176">
        <w:tc>
          <w:tcPr>
            <w:tcW w:w="9628" w:type="dxa"/>
            <w:gridSpan w:val="3"/>
            <w:tcBorders>
              <w:top w:val="double" w:sz="4" w:space="0" w:color="auto"/>
              <w:left w:val="double" w:sz="4" w:space="0" w:color="auto"/>
              <w:bottom w:val="double" w:sz="4" w:space="0" w:color="auto"/>
              <w:right w:val="double" w:sz="4" w:space="0" w:color="auto"/>
            </w:tcBorders>
          </w:tcPr>
          <w:p w14:paraId="0D799155" w14:textId="77777777" w:rsidR="00365D4D" w:rsidRDefault="00365D4D" w:rsidP="00365D4D">
            <w:pPr>
              <w:jc w:val="center"/>
              <w:rPr>
                <w:b/>
              </w:rPr>
            </w:pPr>
            <w:r w:rsidRPr="00365D4D">
              <w:rPr>
                <w:b/>
              </w:rPr>
              <w:t>Strategi for digital sundhed 2018-2022</w:t>
            </w:r>
          </w:p>
          <w:p w14:paraId="238471BA" w14:textId="1310FAFE" w:rsidR="00C06176" w:rsidRPr="00365D4D" w:rsidRDefault="00C06176" w:rsidP="00365D4D">
            <w:pPr>
              <w:jc w:val="center"/>
              <w:rPr>
                <w:b/>
              </w:rPr>
            </w:pPr>
          </w:p>
        </w:tc>
      </w:tr>
      <w:tr w:rsidR="00365D4D" w14:paraId="28749233" w14:textId="77777777" w:rsidTr="00C06176">
        <w:tc>
          <w:tcPr>
            <w:tcW w:w="562" w:type="dxa"/>
            <w:tcBorders>
              <w:top w:val="double" w:sz="4" w:space="0" w:color="auto"/>
              <w:left w:val="double" w:sz="4" w:space="0" w:color="auto"/>
              <w:bottom w:val="double" w:sz="4" w:space="0" w:color="auto"/>
              <w:right w:val="double" w:sz="4" w:space="0" w:color="auto"/>
            </w:tcBorders>
          </w:tcPr>
          <w:p w14:paraId="7D79DF4E" w14:textId="71FD7987" w:rsidR="00365D4D" w:rsidRPr="00365D4D" w:rsidRDefault="00365D4D" w:rsidP="00504A38">
            <w:pPr>
              <w:rPr>
                <w:b/>
              </w:rPr>
            </w:pPr>
            <w:r w:rsidRPr="00365D4D">
              <w:rPr>
                <w:b/>
              </w:rPr>
              <w:t>Nr</w:t>
            </w:r>
            <w:r w:rsidR="00707F26">
              <w:rPr>
                <w:b/>
              </w:rPr>
              <w:t>.</w:t>
            </w:r>
          </w:p>
        </w:tc>
        <w:tc>
          <w:tcPr>
            <w:tcW w:w="2694" w:type="dxa"/>
            <w:tcBorders>
              <w:top w:val="double" w:sz="4" w:space="0" w:color="auto"/>
              <w:left w:val="double" w:sz="4" w:space="0" w:color="auto"/>
              <w:bottom w:val="double" w:sz="4" w:space="0" w:color="auto"/>
              <w:right w:val="double" w:sz="4" w:space="0" w:color="auto"/>
            </w:tcBorders>
          </w:tcPr>
          <w:p w14:paraId="4778AF44" w14:textId="7F995EBD" w:rsidR="00365D4D" w:rsidRPr="00365D4D" w:rsidRDefault="00365D4D" w:rsidP="00504A38">
            <w:pPr>
              <w:rPr>
                <w:b/>
              </w:rPr>
            </w:pPr>
            <w:r w:rsidRPr="00365D4D">
              <w:rPr>
                <w:b/>
              </w:rPr>
              <w:t>Tema</w:t>
            </w:r>
          </w:p>
        </w:tc>
        <w:tc>
          <w:tcPr>
            <w:tcW w:w="6372" w:type="dxa"/>
            <w:tcBorders>
              <w:top w:val="double" w:sz="4" w:space="0" w:color="auto"/>
              <w:left w:val="double" w:sz="4" w:space="0" w:color="auto"/>
              <w:bottom w:val="double" w:sz="4" w:space="0" w:color="auto"/>
              <w:right w:val="double" w:sz="4" w:space="0" w:color="auto"/>
            </w:tcBorders>
          </w:tcPr>
          <w:p w14:paraId="7BE8AE53" w14:textId="39D46CE0" w:rsidR="00365D4D" w:rsidRPr="00365D4D" w:rsidRDefault="00365D4D" w:rsidP="00504A38">
            <w:pPr>
              <w:rPr>
                <w:b/>
              </w:rPr>
            </w:pPr>
            <w:r w:rsidRPr="00365D4D">
              <w:rPr>
                <w:b/>
              </w:rPr>
              <w:t>Indsatsområder</w:t>
            </w:r>
          </w:p>
        </w:tc>
      </w:tr>
      <w:tr w:rsidR="00365D4D" w14:paraId="26F50E23" w14:textId="77777777" w:rsidTr="00C06176">
        <w:tc>
          <w:tcPr>
            <w:tcW w:w="562" w:type="dxa"/>
            <w:tcBorders>
              <w:top w:val="double" w:sz="4" w:space="0" w:color="auto"/>
              <w:left w:val="double" w:sz="4" w:space="0" w:color="auto"/>
              <w:bottom w:val="double" w:sz="4" w:space="0" w:color="auto"/>
              <w:right w:val="double" w:sz="4" w:space="0" w:color="auto"/>
            </w:tcBorders>
          </w:tcPr>
          <w:p w14:paraId="1B1985AC" w14:textId="0EEA3983" w:rsidR="00365D4D" w:rsidRDefault="00365D4D" w:rsidP="00504A38">
            <w:r>
              <w:t>1.</w:t>
            </w:r>
          </w:p>
        </w:tc>
        <w:tc>
          <w:tcPr>
            <w:tcW w:w="2694" w:type="dxa"/>
            <w:tcBorders>
              <w:top w:val="double" w:sz="4" w:space="0" w:color="auto"/>
              <w:left w:val="double" w:sz="4" w:space="0" w:color="auto"/>
              <w:bottom w:val="double" w:sz="4" w:space="0" w:color="auto"/>
              <w:right w:val="double" w:sz="4" w:space="0" w:color="auto"/>
            </w:tcBorders>
          </w:tcPr>
          <w:p w14:paraId="575C670D" w14:textId="77777777" w:rsidR="00365D4D" w:rsidRDefault="00365D4D" w:rsidP="00365D4D">
            <w:r>
              <w:t>Borgere som aktiv partner</w:t>
            </w:r>
          </w:p>
          <w:p w14:paraId="3D29D47A" w14:textId="77777777" w:rsidR="00365D4D" w:rsidRDefault="00365D4D" w:rsidP="00504A38"/>
        </w:tc>
        <w:tc>
          <w:tcPr>
            <w:tcW w:w="6372" w:type="dxa"/>
            <w:tcBorders>
              <w:top w:val="double" w:sz="4" w:space="0" w:color="auto"/>
              <w:left w:val="double" w:sz="4" w:space="0" w:color="auto"/>
              <w:bottom w:val="double" w:sz="4" w:space="0" w:color="auto"/>
              <w:right w:val="double" w:sz="4" w:space="0" w:color="auto"/>
            </w:tcBorders>
          </w:tcPr>
          <w:p w14:paraId="07D123F6" w14:textId="77777777" w:rsidR="00365D4D" w:rsidRDefault="00365D4D" w:rsidP="00365D4D">
            <w:r>
              <w:t>En hverdag med mere medbestemmelse – og mere selvbetjening</w:t>
            </w:r>
          </w:p>
          <w:p w14:paraId="08C9209E" w14:textId="77777777" w:rsidR="00365D4D" w:rsidRDefault="00365D4D" w:rsidP="00504A38"/>
        </w:tc>
      </w:tr>
      <w:tr w:rsidR="00365D4D" w14:paraId="22E90DE3" w14:textId="77777777" w:rsidTr="00C06176">
        <w:tc>
          <w:tcPr>
            <w:tcW w:w="562" w:type="dxa"/>
            <w:tcBorders>
              <w:top w:val="double" w:sz="4" w:space="0" w:color="auto"/>
              <w:left w:val="double" w:sz="4" w:space="0" w:color="auto"/>
              <w:bottom w:val="double" w:sz="4" w:space="0" w:color="auto"/>
              <w:right w:val="double" w:sz="4" w:space="0" w:color="auto"/>
            </w:tcBorders>
          </w:tcPr>
          <w:p w14:paraId="222C2C29" w14:textId="2FBAB38D" w:rsidR="00365D4D" w:rsidRDefault="00365D4D" w:rsidP="00504A38">
            <w:r>
              <w:t>2.</w:t>
            </w:r>
          </w:p>
        </w:tc>
        <w:tc>
          <w:tcPr>
            <w:tcW w:w="2694" w:type="dxa"/>
            <w:tcBorders>
              <w:top w:val="double" w:sz="4" w:space="0" w:color="auto"/>
              <w:left w:val="double" w:sz="4" w:space="0" w:color="auto"/>
              <w:bottom w:val="double" w:sz="4" w:space="0" w:color="auto"/>
              <w:right w:val="double" w:sz="4" w:space="0" w:color="auto"/>
            </w:tcBorders>
          </w:tcPr>
          <w:p w14:paraId="077BB425" w14:textId="77777777" w:rsidR="00365D4D" w:rsidRDefault="00365D4D" w:rsidP="00365D4D">
            <w:r>
              <w:t>Viden til tiden</w:t>
            </w:r>
          </w:p>
          <w:p w14:paraId="13A6D366" w14:textId="77777777" w:rsidR="00365D4D" w:rsidRDefault="00365D4D" w:rsidP="00504A38"/>
        </w:tc>
        <w:tc>
          <w:tcPr>
            <w:tcW w:w="6372" w:type="dxa"/>
            <w:tcBorders>
              <w:top w:val="double" w:sz="4" w:space="0" w:color="auto"/>
              <w:left w:val="double" w:sz="4" w:space="0" w:color="auto"/>
              <w:bottom w:val="double" w:sz="4" w:space="0" w:color="auto"/>
              <w:right w:val="double" w:sz="4" w:space="0" w:color="auto"/>
            </w:tcBorders>
          </w:tcPr>
          <w:p w14:paraId="7F2E6894" w14:textId="77777777" w:rsidR="00365D4D" w:rsidRDefault="00365D4D" w:rsidP="00365D4D">
            <w:r>
              <w:t>Bedre, hurtigere og mere sikker digital kommunikation mellem sektorer</w:t>
            </w:r>
          </w:p>
          <w:p w14:paraId="0208B3DE" w14:textId="77777777" w:rsidR="00365D4D" w:rsidRDefault="00365D4D" w:rsidP="00504A38"/>
        </w:tc>
      </w:tr>
      <w:tr w:rsidR="00365D4D" w14:paraId="2B692FF3" w14:textId="77777777" w:rsidTr="00C06176">
        <w:tc>
          <w:tcPr>
            <w:tcW w:w="562" w:type="dxa"/>
            <w:tcBorders>
              <w:top w:val="double" w:sz="4" w:space="0" w:color="auto"/>
              <w:left w:val="double" w:sz="4" w:space="0" w:color="auto"/>
              <w:bottom w:val="double" w:sz="4" w:space="0" w:color="auto"/>
              <w:right w:val="double" w:sz="4" w:space="0" w:color="auto"/>
            </w:tcBorders>
          </w:tcPr>
          <w:p w14:paraId="61C686D2" w14:textId="4F029788" w:rsidR="00365D4D" w:rsidRDefault="00365D4D" w:rsidP="00504A38">
            <w:r>
              <w:t>3.</w:t>
            </w:r>
          </w:p>
        </w:tc>
        <w:tc>
          <w:tcPr>
            <w:tcW w:w="2694" w:type="dxa"/>
            <w:tcBorders>
              <w:top w:val="double" w:sz="4" w:space="0" w:color="auto"/>
              <w:left w:val="double" w:sz="4" w:space="0" w:color="auto"/>
              <w:bottom w:val="double" w:sz="4" w:space="0" w:color="auto"/>
              <w:right w:val="double" w:sz="4" w:space="0" w:color="auto"/>
            </w:tcBorders>
          </w:tcPr>
          <w:p w14:paraId="3D758D57" w14:textId="77777777" w:rsidR="00365D4D" w:rsidRDefault="00365D4D" w:rsidP="00365D4D">
            <w:r>
              <w:t>Forebyggelse</w:t>
            </w:r>
          </w:p>
          <w:p w14:paraId="182F1077" w14:textId="77777777" w:rsidR="00365D4D" w:rsidRDefault="00365D4D" w:rsidP="00504A38"/>
        </w:tc>
        <w:tc>
          <w:tcPr>
            <w:tcW w:w="6372" w:type="dxa"/>
            <w:tcBorders>
              <w:top w:val="double" w:sz="4" w:space="0" w:color="auto"/>
              <w:left w:val="double" w:sz="4" w:space="0" w:color="auto"/>
              <w:bottom w:val="double" w:sz="4" w:space="0" w:color="auto"/>
              <w:right w:val="double" w:sz="4" w:space="0" w:color="auto"/>
            </w:tcBorders>
          </w:tcPr>
          <w:p w14:paraId="49A20127" w14:textId="77777777" w:rsidR="00365D4D" w:rsidRDefault="00365D4D" w:rsidP="00365D4D">
            <w:r>
              <w:t>Det skal kunne betale sig at investere i den tidlige og nære indsats</w:t>
            </w:r>
          </w:p>
          <w:p w14:paraId="60976777" w14:textId="77777777" w:rsidR="00365D4D" w:rsidRDefault="00365D4D" w:rsidP="00504A38"/>
        </w:tc>
      </w:tr>
      <w:tr w:rsidR="00365D4D" w14:paraId="65585D02" w14:textId="77777777" w:rsidTr="00C06176">
        <w:tc>
          <w:tcPr>
            <w:tcW w:w="562" w:type="dxa"/>
            <w:tcBorders>
              <w:top w:val="double" w:sz="4" w:space="0" w:color="auto"/>
              <w:left w:val="double" w:sz="4" w:space="0" w:color="auto"/>
              <w:bottom w:val="double" w:sz="4" w:space="0" w:color="auto"/>
              <w:right w:val="double" w:sz="4" w:space="0" w:color="auto"/>
            </w:tcBorders>
          </w:tcPr>
          <w:p w14:paraId="7D615072" w14:textId="528839F2" w:rsidR="00365D4D" w:rsidRDefault="00365D4D" w:rsidP="00504A38">
            <w:r>
              <w:t>4.</w:t>
            </w:r>
          </w:p>
        </w:tc>
        <w:tc>
          <w:tcPr>
            <w:tcW w:w="2694" w:type="dxa"/>
            <w:tcBorders>
              <w:top w:val="double" w:sz="4" w:space="0" w:color="auto"/>
              <w:left w:val="double" w:sz="4" w:space="0" w:color="auto"/>
              <w:bottom w:val="double" w:sz="4" w:space="0" w:color="auto"/>
              <w:right w:val="double" w:sz="4" w:space="0" w:color="auto"/>
            </w:tcBorders>
          </w:tcPr>
          <w:p w14:paraId="70D4AA6E" w14:textId="77777777" w:rsidR="00365D4D" w:rsidRDefault="00365D4D" w:rsidP="00365D4D">
            <w:r>
              <w:t>Tillid og sikkerhed om data</w:t>
            </w:r>
          </w:p>
          <w:p w14:paraId="19581715" w14:textId="77777777" w:rsidR="00365D4D" w:rsidRDefault="00365D4D" w:rsidP="00504A38"/>
        </w:tc>
        <w:tc>
          <w:tcPr>
            <w:tcW w:w="6372" w:type="dxa"/>
            <w:tcBorders>
              <w:top w:val="double" w:sz="4" w:space="0" w:color="auto"/>
              <w:left w:val="double" w:sz="4" w:space="0" w:color="auto"/>
              <w:bottom w:val="double" w:sz="4" w:space="0" w:color="auto"/>
              <w:right w:val="double" w:sz="4" w:space="0" w:color="auto"/>
            </w:tcBorders>
          </w:tcPr>
          <w:p w14:paraId="0441F4F1" w14:textId="77777777" w:rsidR="00365D4D" w:rsidRDefault="00365D4D" w:rsidP="00365D4D">
            <w:r>
              <w:t>Der skal være styr på sikkerheden</w:t>
            </w:r>
          </w:p>
          <w:p w14:paraId="637A493C" w14:textId="77777777" w:rsidR="00365D4D" w:rsidRDefault="00365D4D" w:rsidP="00504A38"/>
        </w:tc>
      </w:tr>
      <w:tr w:rsidR="00365D4D" w14:paraId="39C1B99E" w14:textId="77777777" w:rsidTr="00C06176">
        <w:tc>
          <w:tcPr>
            <w:tcW w:w="562" w:type="dxa"/>
            <w:tcBorders>
              <w:top w:val="double" w:sz="4" w:space="0" w:color="auto"/>
              <w:left w:val="double" w:sz="4" w:space="0" w:color="auto"/>
              <w:bottom w:val="double" w:sz="4" w:space="0" w:color="auto"/>
              <w:right w:val="double" w:sz="4" w:space="0" w:color="auto"/>
            </w:tcBorders>
          </w:tcPr>
          <w:p w14:paraId="09F50A3E" w14:textId="0F9D804B" w:rsidR="00365D4D" w:rsidRDefault="00365D4D" w:rsidP="00504A38">
            <w:r>
              <w:t>5.</w:t>
            </w:r>
          </w:p>
        </w:tc>
        <w:tc>
          <w:tcPr>
            <w:tcW w:w="2694" w:type="dxa"/>
            <w:tcBorders>
              <w:top w:val="double" w:sz="4" w:space="0" w:color="auto"/>
              <w:left w:val="double" w:sz="4" w:space="0" w:color="auto"/>
              <w:bottom w:val="double" w:sz="4" w:space="0" w:color="auto"/>
              <w:right w:val="double" w:sz="4" w:space="0" w:color="auto"/>
            </w:tcBorders>
          </w:tcPr>
          <w:p w14:paraId="51AF2678" w14:textId="77777777" w:rsidR="00365D4D" w:rsidRDefault="00365D4D" w:rsidP="00365D4D">
            <w:r>
              <w:t>Fremdrift og fælles byggeblokke</w:t>
            </w:r>
          </w:p>
          <w:p w14:paraId="1896B14F" w14:textId="77777777" w:rsidR="00365D4D" w:rsidRDefault="00365D4D" w:rsidP="00504A38"/>
        </w:tc>
        <w:tc>
          <w:tcPr>
            <w:tcW w:w="6372" w:type="dxa"/>
            <w:tcBorders>
              <w:top w:val="double" w:sz="4" w:space="0" w:color="auto"/>
              <w:left w:val="double" w:sz="4" w:space="0" w:color="auto"/>
              <w:bottom w:val="double" w:sz="4" w:space="0" w:color="auto"/>
              <w:right w:val="double" w:sz="4" w:space="0" w:color="auto"/>
            </w:tcBorders>
          </w:tcPr>
          <w:p w14:paraId="12A76022" w14:textId="77777777" w:rsidR="00365D4D" w:rsidRPr="002745A4" w:rsidRDefault="00365D4D" w:rsidP="00365D4D">
            <w:r>
              <w:t xml:space="preserve">Et økosystem af services og komponenter </w:t>
            </w:r>
          </w:p>
          <w:p w14:paraId="681CF3CC" w14:textId="77777777" w:rsidR="00365D4D" w:rsidRDefault="00365D4D" w:rsidP="00504A38"/>
        </w:tc>
      </w:tr>
    </w:tbl>
    <w:p w14:paraId="2D09572C" w14:textId="77777777" w:rsidR="00CE7E2C" w:rsidRDefault="00CE7E2C" w:rsidP="00504A38">
      <w:pPr>
        <w:rPr>
          <w:b/>
        </w:rPr>
      </w:pPr>
    </w:p>
    <w:sectPr w:rsidR="00CE7E2C">
      <w:footerReference w:type="default" r:id="rId8"/>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B6BDC" w16cid:durableId="1E2DC7A9"/>
  <w16cid:commentId w16cid:paraId="58D5C25E" w16cid:durableId="1E2DC88D"/>
  <w16cid:commentId w16cid:paraId="1B8E7C46" w16cid:durableId="1E2DC0AE"/>
  <w16cid:commentId w16cid:paraId="44424107" w16cid:durableId="1E2DC1ED"/>
  <w16cid:commentId w16cid:paraId="3CC57AD7" w16cid:durableId="1E2DC115"/>
  <w16cid:commentId w16cid:paraId="7F066703" w16cid:durableId="1E2DC045"/>
  <w16cid:commentId w16cid:paraId="33AAE749" w16cid:durableId="1E2DC4AD"/>
  <w16cid:commentId w16cid:paraId="0C0B2D4B" w16cid:durableId="1E2DC52B"/>
  <w16cid:commentId w16cid:paraId="23D53B6A" w16cid:durableId="1E2DC6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7E3C5" w14:textId="77777777" w:rsidR="00A365CE" w:rsidRDefault="00A365CE" w:rsidP="00A365CE">
      <w:pPr>
        <w:spacing w:after="0" w:line="240" w:lineRule="auto"/>
      </w:pPr>
      <w:r>
        <w:separator/>
      </w:r>
    </w:p>
  </w:endnote>
  <w:endnote w:type="continuationSeparator" w:id="0">
    <w:p w14:paraId="2A6BFF27" w14:textId="77777777" w:rsidR="00A365CE" w:rsidRDefault="00A365CE" w:rsidP="00A3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230939"/>
      <w:docPartObj>
        <w:docPartGallery w:val="Page Numbers (Bottom of Page)"/>
        <w:docPartUnique/>
      </w:docPartObj>
    </w:sdtPr>
    <w:sdtEndPr/>
    <w:sdtContent>
      <w:p w14:paraId="235A481F" w14:textId="249943F2" w:rsidR="00A365CE" w:rsidRDefault="00A365CE">
        <w:pPr>
          <w:pStyle w:val="Sidefod"/>
          <w:jc w:val="right"/>
        </w:pPr>
        <w:r>
          <w:fldChar w:fldCharType="begin"/>
        </w:r>
        <w:r>
          <w:instrText>PAGE   \* MERGEFORMAT</w:instrText>
        </w:r>
        <w:r>
          <w:fldChar w:fldCharType="separate"/>
        </w:r>
        <w:r w:rsidR="002903F4">
          <w:rPr>
            <w:noProof/>
          </w:rPr>
          <w:t>6</w:t>
        </w:r>
        <w:r>
          <w:fldChar w:fldCharType="end"/>
        </w:r>
      </w:p>
    </w:sdtContent>
  </w:sdt>
  <w:p w14:paraId="40043D48" w14:textId="77777777" w:rsidR="00A365CE" w:rsidRDefault="00A365C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75BE7" w14:textId="77777777" w:rsidR="00A365CE" w:rsidRDefault="00A365CE" w:rsidP="00A365CE">
      <w:pPr>
        <w:spacing w:after="0" w:line="240" w:lineRule="auto"/>
      </w:pPr>
      <w:r>
        <w:separator/>
      </w:r>
    </w:p>
  </w:footnote>
  <w:footnote w:type="continuationSeparator" w:id="0">
    <w:p w14:paraId="60CB1867" w14:textId="77777777" w:rsidR="00A365CE" w:rsidRDefault="00A365CE" w:rsidP="00A36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01DE"/>
    <w:multiLevelType w:val="hybridMultilevel"/>
    <w:tmpl w:val="60EA7A98"/>
    <w:lvl w:ilvl="0" w:tplc="03A0656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666E97"/>
    <w:multiLevelType w:val="hybridMultilevel"/>
    <w:tmpl w:val="BF5A75DE"/>
    <w:lvl w:ilvl="0" w:tplc="58F2A7DC">
      <w:start w:val="1"/>
      <w:numFmt w:val="decimal"/>
      <w:lvlText w:val="%1."/>
      <w:lvlJc w:val="left"/>
      <w:pPr>
        <w:tabs>
          <w:tab w:val="num" w:pos="720"/>
        </w:tabs>
        <w:ind w:left="720" w:hanging="360"/>
      </w:pPr>
    </w:lvl>
    <w:lvl w:ilvl="1" w:tplc="42C4E964" w:tentative="1">
      <w:start w:val="1"/>
      <w:numFmt w:val="decimal"/>
      <w:lvlText w:val="%2."/>
      <w:lvlJc w:val="left"/>
      <w:pPr>
        <w:tabs>
          <w:tab w:val="num" w:pos="1440"/>
        </w:tabs>
        <w:ind w:left="1440" w:hanging="360"/>
      </w:pPr>
    </w:lvl>
    <w:lvl w:ilvl="2" w:tplc="401E4600" w:tentative="1">
      <w:start w:val="1"/>
      <w:numFmt w:val="decimal"/>
      <w:lvlText w:val="%3."/>
      <w:lvlJc w:val="left"/>
      <w:pPr>
        <w:tabs>
          <w:tab w:val="num" w:pos="2160"/>
        </w:tabs>
        <w:ind w:left="2160" w:hanging="360"/>
      </w:pPr>
    </w:lvl>
    <w:lvl w:ilvl="3" w:tplc="BD4C89CA" w:tentative="1">
      <w:start w:val="1"/>
      <w:numFmt w:val="decimal"/>
      <w:lvlText w:val="%4."/>
      <w:lvlJc w:val="left"/>
      <w:pPr>
        <w:tabs>
          <w:tab w:val="num" w:pos="2880"/>
        </w:tabs>
        <w:ind w:left="2880" w:hanging="360"/>
      </w:pPr>
    </w:lvl>
    <w:lvl w:ilvl="4" w:tplc="A484DF50" w:tentative="1">
      <w:start w:val="1"/>
      <w:numFmt w:val="decimal"/>
      <w:lvlText w:val="%5."/>
      <w:lvlJc w:val="left"/>
      <w:pPr>
        <w:tabs>
          <w:tab w:val="num" w:pos="3600"/>
        </w:tabs>
        <w:ind w:left="3600" w:hanging="360"/>
      </w:pPr>
    </w:lvl>
    <w:lvl w:ilvl="5" w:tplc="B15A4A84" w:tentative="1">
      <w:start w:val="1"/>
      <w:numFmt w:val="decimal"/>
      <w:lvlText w:val="%6."/>
      <w:lvlJc w:val="left"/>
      <w:pPr>
        <w:tabs>
          <w:tab w:val="num" w:pos="4320"/>
        </w:tabs>
        <w:ind w:left="4320" w:hanging="360"/>
      </w:pPr>
    </w:lvl>
    <w:lvl w:ilvl="6" w:tplc="0B48103A" w:tentative="1">
      <w:start w:val="1"/>
      <w:numFmt w:val="decimal"/>
      <w:lvlText w:val="%7."/>
      <w:lvlJc w:val="left"/>
      <w:pPr>
        <w:tabs>
          <w:tab w:val="num" w:pos="5040"/>
        </w:tabs>
        <w:ind w:left="5040" w:hanging="360"/>
      </w:pPr>
    </w:lvl>
    <w:lvl w:ilvl="7" w:tplc="FE0CDAB8" w:tentative="1">
      <w:start w:val="1"/>
      <w:numFmt w:val="decimal"/>
      <w:lvlText w:val="%8."/>
      <w:lvlJc w:val="left"/>
      <w:pPr>
        <w:tabs>
          <w:tab w:val="num" w:pos="5760"/>
        </w:tabs>
        <w:ind w:left="5760" w:hanging="360"/>
      </w:pPr>
    </w:lvl>
    <w:lvl w:ilvl="8" w:tplc="6B9253D4" w:tentative="1">
      <w:start w:val="1"/>
      <w:numFmt w:val="decimal"/>
      <w:lvlText w:val="%9."/>
      <w:lvlJc w:val="left"/>
      <w:pPr>
        <w:tabs>
          <w:tab w:val="num" w:pos="6480"/>
        </w:tabs>
        <w:ind w:left="6480" w:hanging="360"/>
      </w:pPr>
    </w:lvl>
  </w:abstractNum>
  <w:abstractNum w:abstractNumId="2" w15:restartNumberingAfterBreak="0">
    <w:nsid w:val="0D02333B"/>
    <w:multiLevelType w:val="hybridMultilevel"/>
    <w:tmpl w:val="486CC36A"/>
    <w:lvl w:ilvl="0" w:tplc="2CE6FD8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E62F3A"/>
    <w:multiLevelType w:val="hybridMultilevel"/>
    <w:tmpl w:val="14789A66"/>
    <w:lvl w:ilvl="0" w:tplc="0406000F">
      <w:start w:val="1"/>
      <w:numFmt w:val="decimal"/>
      <w:lvlText w:val="%1."/>
      <w:lvlJc w:val="left"/>
      <w:pPr>
        <w:ind w:left="825" w:hanging="360"/>
      </w:pPr>
    </w:lvl>
    <w:lvl w:ilvl="1" w:tplc="04060019">
      <w:start w:val="1"/>
      <w:numFmt w:val="lowerLetter"/>
      <w:lvlText w:val="%2."/>
      <w:lvlJc w:val="left"/>
      <w:pPr>
        <w:ind w:left="1545" w:hanging="360"/>
      </w:pPr>
    </w:lvl>
    <w:lvl w:ilvl="2" w:tplc="0406001B" w:tentative="1">
      <w:start w:val="1"/>
      <w:numFmt w:val="lowerRoman"/>
      <w:lvlText w:val="%3."/>
      <w:lvlJc w:val="right"/>
      <w:pPr>
        <w:ind w:left="2265" w:hanging="180"/>
      </w:pPr>
    </w:lvl>
    <w:lvl w:ilvl="3" w:tplc="0406000F" w:tentative="1">
      <w:start w:val="1"/>
      <w:numFmt w:val="decimal"/>
      <w:lvlText w:val="%4."/>
      <w:lvlJc w:val="left"/>
      <w:pPr>
        <w:ind w:left="2985" w:hanging="360"/>
      </w:pPr>
    </w:lvl>
    <w:lvl w:ilvl="4" w:tplc="04060019" w:tentative="1">
      <w:start w:val="1"/>
      <w:numFmt w:val="lowerLetter"/>
      <w:lvlText w:val="%5."/>
      <w:lvlJc w:val="left"/>
      <w:pPr>
        <w:ind w:left="3705" w:hanging="360"/>
      </w:pPr>
    </w:lvl>
    <w:lvl w:ilvl="5" w:tplc="0406001B" w:tentative="1">
      <w:start w:val="1"/>
      <w:numFmt w:val="lowerRoman"/>
      <w:lvlText w:val="%6."/>
      <w:lvlJc w:val="right"/>
      <w:pPr>
        <w:ind w:left="4425" w:hanging="180"/>
      </w:pPr>
    </w:lvl>
    <w:lvl w:ilvl="6" w:tplc="0406000F" w:tentative="1">
      <w:start w:val="1"/>
      <w:numFmt w:val="decimal"/>
      <w:lvlText w:val="%7."/>
      <w:lvlJc w:val="left"/>
      <w:pPr>
        <w:ind w:left="5145" w:hanging="360"/>
      </w:pPr>
    </w:lvl>
    <w:lvl w:ilvl="7" w:tplc="04060019" w:tentative="1">
      <w:start w:val="1"/>
      <w:numFmt w:val="lowerLetter"/>
      <w:lvlText w:val="%8."/>
      <w:lvlJc w:val="left"/>
      <w:pPr>
        <w:ind w:left="5865" w:hanging="360"/>
      </w:pPr>
    </w:lvl>
    <w:lvl w:ilvl="8" w:tplc="0406001B" w:tentative="1">
      <w:start w:val="1"/>
      <w:numFmt w:val="lowerRoman"/>
      <w:lvlText w:val="%9."/>
      <w:lvlJc w:val="right"/>
      <w:pPr>
        <w:ind w:left="6585" w:hanging="180"/>
      </w:pPr>
    </w:lvl>
  </w:abstractNum>
  <w:abstractNum w:abstractNumId="4" w15:restartNumberingAfterBreak="0">
    <w:nsid w:val="17821C47"/>
    <w:multiLevelType w:val="hybridMultilevel"/>
    <w:tmpl w:val="06B0D788"/>
    <w:lvl w:ilvl="0" w:tplc="04060001">
      <w:start w:val="1"/>
      <w:numFmt w:val="bullet"/>
      <w:lvlText w:val=""/>
      <w:lvlJc w:val="left"/>
      <w:pPr>
        <w:tabs>
          <w:tab w:val="num" w:pos="720"/>
        </w:tabs>
        <w:ind w:left="720" w:hanging="360"/>
      </w:pPr>
      <w:rPr>
        <w:rFonts w:ascii="Symbol" w:hAnsi="Symbol" w:hint="default"/>
      </w:rPr>
    </w:lvl>
    <w:lvl w:ilvl="1" w:tplc="F8162E92" w:tentative="1">
      <w:start w:val="1"/>
      <w:numFmt w:val="bullet"/>
      <w:lvlText w:val="•"/>
      <w:lvlJc w:val="left"/>
      <w:pPr>
        <w:tabs>
          <w:tab w:val="num" w:pos="1440"/>
        </w:tabs>
        <w:ind w:left="1440" w:hanging="360"/>
      </w:pPr>
      <w:rPr>
        <w:rFonts w:ascii="Arial" w:hAnsi="Arial" w:hint="default"/>
      </w:rPr>
    </w:lvl>
    <w:lvl w:ilvl="2" w:tplc="01A4616E" w:tentative="1">
      <w:start w:val="1"/>
      <w:numFmt w:val="bullet"/>
      <w:lvlText w:val="•"/>
      <w:lvlJc w:val="left"/>
      <w:pPr>
        <w:tabs>
          <w:tab w:val="num" w:pos="2160"/>
        </w:tabs>
        <w:ind w:left="2160" w:hanging="360"/>
      </w:pPr>
      <w:rPr>
        <w:rFonts w:ascii="Arial" w:hAnsi="Arial" w:hint="default"/>
      </w:rPr>
    </w:lvl>
    <w:lvl w:ilvl="3" w:tplc="1D4C5968" w:tentative="1">
      <w:start w:val="1"/>
      <w:numFmt w:val="bullet"/>
      <w:lvlText w:val="•"/>
      <w:lvlJc w:val="left"/>
      <w:pPr>
        <w:tabs>
          <w:tab w:val="num" w:pos="2880"/>
        </w:tabs>
        <w:ind w:left="2880" w:hanging="360"/>
      </w:pPr>
      <w:rPr>
        <w:rFonts w:ascii="Arial" w:hAnsi="Arial" w:hint="default"/>
      </w:rPr>
    </w:lvl>
    <w:lvl w:ilvl="4" w:tplc="596C20C4" w:tentative="1">
      <w:start w:val="1"/>
      <w:numFmt w:val="bullet"/>
      <w:lvlText w:val="•"/>
      <w:lvlJc w:val="left"/>
      <w:pPr>
        <w:tabs>
          <w:tab w:val="num" w:pos="3600"/>
        </w:tabs>
        <w:ind w:left="3600" w:hanging="360"/>
      </w:pPr>
      <w:rPr>
        <w:rFonts w:ascii="Arial" w:hAnsi="Arial" w:hint="default"/>
      </w:rPr>
    </w:lvl>
    <w:lvl w:ilvl="5" w:tplc="75FA59B8" w:tentative="1">
      <w:start w:val="1"/>
      <w:numFmt w:val="bullet"/>
      <w:lvlText w:val="•"/>
      <w:lvlJc w:val="left"/>
      <w:pPr>
        <w:tabs>
          <w:tab w:val="num" w:pos="4320"/>
        </w:tabs>
        <w:ind w:left="4320" w:hanging="360"/>
      </w:pPr>
      <w:rPr>
        <w:rFonts w:ascii="Arial" w:hAnsi="Arial" w:hint="default"/>
      </w:rPr>
    </w:lvl>
    <w:lvl w:ilvl="6" w:tplc="4FE0B3CC" w:tentative="1">
      <w:start w:val="1"/>
      <w:numFmt w:val="bullet"/>
      <w:lvlText w:val="•"/>
      <w:lvlJc w:val="left"/>
      <w:pPr>
        <w:tabs>
          <w:tab w:val="num" w:pos="5040"/>
        </w:tabs>
        <w:ind w:left="5040" w:hanging="360"/>
      </w:pPr>
      <w:rPr>
        <w:rFonts w:ascii="Arial" w:hAnsi="Arial" w:hint="default"/>
      </w:rPr>
    </w:lvl>
    <w:lvl w:ilvl="7" w:tplc="248A36D0" w:tentative="1">
      <w:start w:val="1"/>
      <w:numFmt w:val="bullet"/>
      <w:lvlText w:val="•"/>
      <w:lvlJc w:val="left"/>
      <w:pPr>
        <w:tabs>
          <w:tab w:val="num" w:pos="5760"/>
        </w:tabs>
        <w:ind w:left="5760" w:hanging="360"/>
      </w:pPr>
      <w:rPr>
        <w:rFonts w:ascii="Arial" w:hAnsi="Arial" w:hint="default"/>
      </w:rPr>
    </w:lvl>
    <w:lvl w:ilvl="8" w:tplc="138E86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6F2F5F"/>
    <w:multiLevelType w:val="hybridMultilevel"/>
    <w:tmpl w:val="1FF8F8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164F33"/>
    <w:multiLevelType w:val="hybridMultilevel"/>
    <w:tmpl w:val="40E4B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2E4367"/>
    <w:multiLevelType w:val="hybridMultilevel"/>
    <w:tmpl w:val="F4A869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1194E5D"/>
    <w:multiLevelType w:val="hybridMultilevel"/>
    <w:tmpl w:val="253A8E0C"/>
    <w:lvl w:ilvl="0" w:tplc="643A6F1A">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EA7033"/>
    <w:multiLevelType w:val="hybridMultilevel"/>
    <w:tmpl w:val="4CDAA5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87F5427"/>
    <w:multiLevelType w:val="hybridMultilevel"/>
    <w:tmpl w:val="2B5A98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6F5A33"/>
    <w:multiLevelType w:val="hybridMultilevel"/>
    <w:tmpl w:val="D4F2E0C2"/>
    <w:lvl w:ilvl="0" w:tplc="836EB6D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5264120"/>
    <w:multiLevelType w:val="hybridMultilevel"/>
    <w:tmpl w:val="62525944"/>
    <w:lvl w:ilvl="0" w:tplc="04060001">
      <w:start w:val="1"/>
      <w:numFmt w:val="bullet"/>
      <w:lvlText w:val=""/>
      <w:lvlJc w:val="left"/>
      <w:pPr>
        <w:tabs>
          <w:tab w:val="num" w:pos="720"/>
        </w:tabs>
        <w:ind w:left="720" w:hanging="360"/>
      </w:pPr>
      <w:rPr>
        <w:rFonts w:ascii="Symbol" w:hAnsi="Symbol" w:hint="default"/>
      </w:rPr>
    </w:lvl>
    <w:lvl w:ilvl="1" w:tplc="C2502FDA" w:tentative="1">
      <w:start w:val="1"/>
      <w:numFmt w:val="bullet"/>
      <w:lvlText w:val="•"/>
      <w:lvlJc w:val="left"/>
      <w:pPr>
        <w:tabs>
          <w:tab w:val="num" w:pos="1440"/>
        </w:tabs>
        <w:ind w:left="1440" w:hanging="360"/>
      </w:pPr>
      <w:rPr>
        <w:rFonts w:ascii="Arial" w:hAnsi="Arial" w:hint="default"/>
      </w:rPr>
    </w:lvl>
    <w:lvl w:ilvl="2" w:tplc="3948E426" w:tentative="1">
      <w:start w:val="1"/>
      <w:numFmt w:val="bullet"/>
      <w:lvlText w:val="•"/>
      <w:lvlJc w:val="left"/>
      <w:pPr>
        <w:tabs>
          <w:tab w:val="num" w:pos="2160"/>
        </w:tabs>
        <w:ind w:left="2160" w:hanging="360"/>
      </w:pPr>
      <w:rPr>
        <w:rFonts w:ascii="Arial" w:hAnsi="Arial" w:hint="default"/>
      </w:rPr>
    </w:lvl>
    <w:lvl w:ilvl="3" w:tplc="3A0C68F2" w:tentative="1">
      <w:start w:val="1"/>
      <w:numFmt w:val="bullet"/>
      <w:lvlText w:val="•"/>
      <w:lvlJc w:val="left"/>
      <w:pPr>
        <w:tabs>
          <w:tab w:val="num" w:pos="2880"/>
        </w:tabs>
        <w:ind w:left="2880" w:hanging="360"/>
      </w:pPr>
      <w:rPr>
        <w:rFonts w:ascii="Arial" w:hAnsi="Arial" w:hint="default"/>
      </w:rPr>
    </w:lvl>
    <w:lvl w:ilvl="4" w:tplc="9B884178" w:tentative="1">
      <w:start w:val="1"/>
      <w:numFmt w:val="bullet"/>
      <w:lvlText w:val="•"/>
      <w:lvlJc w:val="left"/>
      <w:pPr>
        <w:tabs>
          <w:tab w:val="num" w:pos="3600"/>
        </w:tabs>
        <w:ind w:left="3600" w:hanging="360"/>
      </w:pPr>
      <w:rPr>
        <w:rFonts w:ascii="Arial" w:hAnsi="Arial" w:hint="default"/>
      </w:rPr>
    </w:lvl>
    <w:lvl w:ilvl="5" w:tplc="2D9C39BE" w:tentative="1">
      <w:start w:val="1"/>
      <w:numFmt w:val="bullet"/>
      <w:lvlText w:val="•"/>
      <w:lvlJc w:val="left"/>
      <w:pPr>
        <w:tabs>
          <w:tab w:val="num" w:pos="4320"/>
        </w:tabs>
        <w:ind w:left="4320" w:hanging="360"/>
      </w:pPr>
      <w:rPr>
        <w:rFonts w:ascii="Arial" w:hAnsi="Arial" w:hint="default"/>
      </w:rPr>
    </w:lvl>
    <w:lvl w:ilvl="6" w:tplc="9A588B6E" w:tentative="1">
      <w:start w:val="1"/>
      <w:numFmt w:val="bullet"/>
      <w:lvlText w:val="•"/>
      <w:lvlJc w:val="left"/>
      <w:pPr>
        <w:tabs>
          <w:tab w:val="num" w:pos="5040"/>
        </w:tabs>
        <w:ind w:left="5040" w:hanging="360"/>
      </w:pPr>
      <w:rPr>
        <w:rFonts w:ascii="Arial" w:hAnsi="Arial" w:hint="default"/>
      </w:rPr>
    </w:lvl>
    <w:lvl w:ilvl="7" w:tplc="64D80F4C" w:tentative="1">
      <w:start w:val="1"/>
      <w:numFmt w:val="bullet"/>
      <w:lvlText w:val="•"/>
      <w:lvlJc w:val="left"/>
      <w:pPr>
        <w:tabs>
          <w:tab w:val="num" w:pos="5760"/>
        </w:tabs>
        <w:ind w:left="5760" w:hanging="360"/>
      </w:pPr>
      <w:rPr>
        <w:rFonts w:ascii="Arial" w:hAnsi="Arial" w:hint="default"/>
      </w:rPr>
    </w:lvl>
    <w:lvl w:ilvl="8" w:tplc="1D909E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71786E"/>
    <w:multiLevelType w:val="hybridMultilevel"/>
    <w:tmpl w:val="A746D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51750AF"/>
    <w:multiLevelType w:val="hybridMultilevel"/>
    <w:tmpl w:val="9BB4CD98"/>
    <w:lvl w:ilvl="0" w:tplc="643A6F1A">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12"/>
  </w:num>
  <w:num w:numId="5">
    <w:abstractNumId w:val="11"/>
  </w:num>
  <w:num w:numId="6">
    <w:abstractNumId w:val="7"/>
  </w:num>
  <w:num w:numId="7">
    <w:abstractNumId w:val="1"/>
  </w:num>
  <w:num w:numId="8">
    <w:abstractNumId w:val="2"/>
  </w:num>
  <w:num w:numId="9">
    <w:abstractNumId w:val="9"/>
  </w:num>
  <w:num w:numId="10">
    <w:abstractNumId w:val="14"/>
  </w:num>
  <w:num w:numId="11">
    <w:abstractNumId w:val="8"/>
  </w:num>
  <w:num w:numId="12">
    <w:abstractNumId w:val="3"/>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A4"/>
    <w:rsid w:val="00030790"/>
    <w:rsid w:val="00062A86"/>
    <w:rsid w:val="00072FCF"/>
    <w:rsid w:val="001E1030"/>
    <w:rsid w:val="00204C08"/>
    <w:rsid w:val="002563B3"/>
    <w:rsid w:val="002745A4"/>
    <w:rsid w:val="00274BAE"/>
    <w:rsid w:val="002903F4"/>
    <w:rsid w:val="002B5382"/>
    <w:rsid w:val="002B5689"/>
    <w:rsid w:val="002C307C"/>
    <w:rsid w:val="002D733A"/>
    <w:rsid w:val="00365D4D"/>
    <w:rsid w:val="00392B46"/>
    <w:rsid w:val="003E3861"/>
    <w:rsid w:val="003F45A4"/>
    <w:rsid w:val="00402672"/>
    <w:rsid w:val="004F1293"/>
    <w:rsid w:val="00504A38"/>
    <w:rsid w:val="005F6511"/>
    <w:rsid w:val="00600687"/>
    <w:rsid w:val="00653438"/>
    <w:rsid w:val="00707F26"/>
    <w:rsid w:val="00726BC0"/>
    <w:rsid w:val="00767C55"/>
    <w:rsid w:val="0079716F"/>
    <w:rsid w:val="00797B1C"/>
    <w:rsid w:val="0088492D"/>
    <w:rsid w:val="0088620D"/>
    <w:rsid w:val="00905DB3"/>
    <w:rsid w:val="009B5FA5"/>
    <w:rsid w:val="00A1022E"/>
    <w:rsid w:val="00A35E18"/>
    <w:rsid w:val="00A365CE"/>
    <w:rsid w:val="00A42D52"/>
    <w:rsid w:val="00A7432A"/>
    <w:rsid w:val="00B00EF9"/>
    <w:rsid w:val="00B10786"/>
    <w:rsid w:val="00B33B7E"/>
    <w:rsid w:val="00BC78F2"/>
    <w:rsid w:val="00C06176"/>
    <w:rsid w:val="00C26453"/>
    <w:rsid w:val="00C55F65"/>
    <w:rsid w:val="00C631C2"/>
    <w:rsid w:val="00C8396F"/>
    <w:rsid w:val="00CC7F06"/>
    <w:rsid w:val="00CE1EC5"/>
    <w:rsid w:val="00CE7E2C"/>
    <w:rsid w:val="00D23555"/>
    <w:rsid w:val="00D442F6"/>
    <w:rsid w:val="00DE68B2"/>
    <w:rsid w:val="00DF0FA0"/>
    <w:rsid w:val="00E53C37"/>
    <w:rsid w:val="00EB5444"/>
    <w:rsid w:val="00ED5F59"/>
    <w:rsid w:val="00ED794F"/>
    <w:rsid w:val="00F21CE9"/>
    <w:rsid w:val="00F877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D35"/>
  <w15:docId w15:val="{84028114-26E9-4DC0-B838-5839F9AA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F45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F4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F45A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3F45A4"/>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600687"/>
    <w:pPr>
      <w:ind w:left="720"/>
      <w:contextualSpacing/>
    </w:pPr>
  </w:style>
  <w:style w:type="paragraph" w:customStyle="1" w:styleId="Default">
    <w:name w:val="Default"/>
    <w:rsid w:val="00905DB3"/>
    <w:pPr>
      <w:autoSpaceDE w:val="0"/>
      <w:autoSpaceDN w:val="0"/>
      <w:adjustRightInd w:val="0"/>
      <w:spacing w:after="0" w:line="240" w:lineRule="auto"/>
    </w:pPr>
    <w:rPr>
      <w:rFonts w:ascii="Courier New" w:hAnsi="Courier New" w:cs="Courier New"/>
      <w:color w:val="000000"/>
      <w:sz w:val="24"/>
      <w:szCs w:val="24"/>
    </w:rPr>
  </w:style>
  <w:style w:type="character" w:styleId="Kommentarhenvisning">
    <w:name w:val="annotation reference"/>
    <w:basedOn w:val="Standardskrifttypeiafsnit"/>
    <w:uiPriority w:val="99"/>
    <w:semiHidden/>
    <w:unhideWhenUsed/>
    <w:rsid w:val="00797B1C"/>
    <w:rPr>
      <w:sz w:val="16"/>
      <w:szCs w:val="16"/>
    </w:rPr>
  </w:style>
  <w:style w:type="paragraph" w:styleId="Kommentartekst">
    <w:name w:val="annotation text"/>
    <w:basedOn w:val="Normal"/>
    <w:link w:val="KommentartekstTegn"/>
    <w:uiPriority w:val="99"/>
    <w:semiHidden/>
    <w:unhideWhenUsed/>
    <w:rsid w:val="00797B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97B1C"/>
    <w:rPr>
      <w:sz w:val="20"/>
      <w:szCs w:val="20"/>
    </w:rPr>
  </w:style>
  <w:style w:type="paragraph" w:styleId="Kommentaremne">
    <w:name w:val="annotation subject"/>
    <w:basedOn w:val="Kommentartekst"/>
    <w:next w:val="Kommentartekst"/>
    <w:link w:val="KommentaremneTegn"/>
    <w:uiPriority w:val="99"/>
    <w:semiHidden/>
    <w:unhideWhenUsed/>
    <w:rsid w:val="00797B1C"/>
    <w:rPr>
      <w:b/>
      <w:bCs/>
    </w:rPr>
  </w:style>
  <w:style w:type="character" w:customStyle="1" w:styleId="KommentaremneTegn">
    <w:name w:val="Kommentaremne Tegn"/>
    <w:basedOn w:val="KommentartekstTegn"/>
    <w:link w:val="Kommentaremne"/>
    <w:uiPriority w:val="99"/>
    <w:semiHidden/>
    <w:rsid w:val="00797B1C"/>
    <w:rPr>
      <w:b/>
      <w:bCs/>
      <w:sz w:val="20"/>
      <w:szCs w:val="20"/>
    </w:rPr>
  </w:style>
  <w:style w:type="paragraph" w:styleId="Markeringsbobletekst">
    <w:name w:val="Balloon Text"/>
    <w:basedOn w:val="Normal"/>
    <w:link w:val="MarkeringsbobletekstTegn"/>
    <w:uiPriority w:val="99"/>
    <w:semiHidden/>
    <w:unhideWhenUsed/>
    <w:rsid w:val="00797B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7B1C"/>
    <w:rPr>
      <w:rFonts w:ascii="Segoe UI" w:hAnsi="Segoe UI" w:cs="Segoe UI"/>
      <w:sz w:val="18"/>
      <w:szCs w:val="18"/>
    </w:rPr>
  </w:style>
  <w:style w:type="table" w:styleId="Tabel-Gitter">
    <w:name w:val="Table Grid"/>
    <w:basedOn w:val="Tabel-Normal"/>
    <w:uiPriority w:val="39"/>
    <w:rsid w:val="00C83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remhvningsfarve3">
    <w:name w:val="Light List Accent 3"/>
    <w:basedOn w:val="Tabel-Normal"/>
    <w:uiPriority w:val="61"/>
    <w:rsid w:val="00E53C3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idehoved">
    <w:name w:val="header"/>
    <w:basedOn w:val="Normal"/>
    <w:link w:val="SidehovedTegn"/>
    <w:uiPriority w:val="99"/>
    <w:unhideWhenUsed/>
    <w:rsid w:val="00A365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65CE"/>
  </w:style>
  <w:style w:type="paragraph" w:styleId="Sidefod">
    <w:name w:val="footer"/>
    <w:basedOn w:val="Normal"/>
    <w:link w:val="SidefodTegn"/>
    <w:uiPriority w:val="99"/>
    <w:unhideWhenUsed/>
    <w:rsid w:val="00A365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65CE"/>
  </w:style>
  <w:style w:type="paragraph" w:styleId="Korrektur">
    <w:name w:val="Revision"/>
    <w:hidden/>
    <w:uiPriority w:val="99"/>
    <w:semiHidden/>
    <w:rsid w:val="00EB5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101">
      <w:bodyDiv w:val="1"/>
      <w:marLeft w:val="0"/>
      <w:marRight w:val="0"/>
      <w:marTop w:val="0"/>
      <w:marBottom w:val="0"/>
      <w:divBdr>
        <w:top w:val="none" w:sz="0" w:space="0" w:color="auto"/>
        <w:left w:val="none" w:sz="0" w:space="0" w:color="auto"/>
        <w:bottom w:val="none" w:sz="0" w:space="0" w:color="auto"/>
        <w:right w:val="none" w:sz="0" w:space="0" w:color="auto"/>
      </w:divBdr>
    </w:div>
    <w:div w:id="216013514">
      <w:bodyDiv w:val="1"/>
      <w:marLeft w:val="0"/>
      <w:marRight w:val="0"/>
      <w:marTop w:val="0"/>
      <w:marBottom w:val="0"/>
      <w:divBdr>
        <w:top w:val="none" w:sz="0" w:space="0" w:color="auto"/>
        <w:left w:val="none" w:sz="0" w:space="0" w:color="auto"/>
        <w:bottom w:val="none" w:sz="0" w:space="0" w:color="auto"/>
        <w:right w:val="none" w:sz="0" w:space="0" w:color="auto"/>
      </w:divBdr>
    </w:div>
    <w:div w:id="659115173">
      <w:bodyDiv w:val="1"/>
      <w:marLeft w:val="0"/>
      <w:marRight w:val="0"/>
      <w:marTop w:val="0"/>
      <w:marBottom w:val="0"/>
      <w:divBdr>
        <w:top w:val="none" w:sz="0" w:space="0" w:color="auto"/>
        <w:left w:val="none" w:sz="0" w:space="0" w:color="auto"/>
        <w:bottom w:val="none" w:sz="0" w:space="0" w:color="auto"/>
        <w:right w:val="none" w:sz="0" w:space="0" w:color="auto"/>
      </w:divBdr>
    </w:div>
    <w:div w:id="814567731">
      <w:bodyDiv w:val="1"/>
      <w:marLeft w:val="0"/>
      <w:marRight w:val="0"/>
      <w:marTop w:val="0"/>
      <w:marBottom w:val="0"/>
      <w:divBdr>
        <w:top w:val="none" w:sz="0" w:space="0" w:color="auto"/>
        <w:left w:val="none" w:sz="0" w:space="0" w:color="auto"/>
        <w:bottom w:val="none" w:sz="0" w:space="0" w:color="auto"/>
        <w:right w:val="none" w:sz="0" w:space="0" w:color="auto"/>
      </w:divBdr>
      <w:divsChild>
        <w:div w:id="989598307">
          <w:marLeft w:val="806"/>
          <w:marRight w:val="0"/>
          <w:marTop w:val="200"/>
          <w:marBottom w:val="0"/>
          <w:divBdr>
            <w:top w:val="none" w:sz="0" w:space="0" w:color="auto"/>
            <w:left w:val="none" w:sz="0" w:space="0" w:color="auto"/>
            <w:bottom w:val="none" w:sz="0" w:space="0" w:color="auto"/>
            <w:right w:val="none" w:sz="0" w:space="0" w:color="auto"/>
          </w:divBdr>
        </w:div>
        <w:div w:id="2095080261">
          <w:marLeft w:val="806"/>
          <w:marRight w:val="0"/>
          <w:marTop w:val="200"/>
          <w:marBottom w:val="0"/>
          <w:divBdr>
            <w:top w:val="none" w:sz="0" w:space="0" w:color="auto"/>
            <w:left w:val="none" w:sz="0" w:space="0" w:color="auto"/>
            <w:bottom w:val="none" w:sz="0" w:space="0" w:color="auto"/>
            <w:right w:val="none" w:sz="0" w:space="0" w:color="auto"/>
          </w:divBdr>
        </w:div>
        <w:div w:id="596715604">
          <w:marLeft w:val="806"/>
          <w:marRight w:val="0"/>
          <w:marTop w:val="200"/>
          <w:marBottom w:val="0"/>
          <w:divBdr>
            <w:top w:val="none" w:sz="0" w:space="0" w:color="auto"/>
            <w:left w:val="none" w:sz="0" w:space="0" w:color="auto"/>
            <w:bottom w:val="none" w:sz="0" w:space="0" w:color="auto"/>
            <w:right w:val="none" w:sz="0" w:space="0" w:color="auto"/>
          </w:divBdr>
        </w:div>
        <w:div w:id="444693163">
          <w:marLeft w:val="806"/>
          <w:marRight w:val="0"/>
          <w:marTop w:val="200"/>
          <w:marBottom w:val="0"/>
          <w:divBdr>
            <w:top w:val="none" w:sz="0" w:space="0" w:color="auto"/>
            <w:left w:val="none" w:sz="0" w:space="0" w:color="auto"/>
            <w:bottom w:val="none" w:sz="0" w:space="0" w:color="auto"/>
            <w:right w:val="none" w:sz="0" w:space="0" w:color="auto"/>
          </w:divBdr>
        </w:div>
        <w:div w:id="910309065">
          <w:marLeft w:val="806"/>
          <w:marRight w:val="0"/>
          <w:marTop w:val="200"/>
          <w:marBottom w:val="0"/>
          <w:divBdr>
            <w:top w:val="none" w:sz="0" w:space="0" w:color="auto"/>
            <w:left w:val="none" w:sz="0" w:space="0" w:color="auto"/>
            <w:bottom w:val="none" w:sz="0" w:space="0" w:color="auto"/>
            <w:right w:val="none" w:sz="0" w:space="0" w:color="auto"/>
          </w:divBdr>
        </w:div>
        <w:div w:id="1843546559">
          <w:marLeft w:val="806"/>
          <w:marRight w:val="0"/>
          <w:marTop w:val="200"/>
          <w:marBottom w:val="0"/>
          <w:divBdr>
            <w:top w:val="none" w:sz="0" w:space="0" w:color="auto"/>
            <w:left w:val="none" w:sz="0" w:space="0" w:color="auto"/>
            <w:bottom w:val="none" w:sz="0" w:space="0" w:color="auto"/>
            <w:right w:val="none" w:sz="0" w:space="0" w:color="auto"/>
          </w:divBdr>
        </w:div>
      </w:divsChild>
    </w:div>
    <w:div w:id="1323314855">
      <w:bodyDiv w:val="1"/>
      <w:marLeft w:val="0"/>
      <w:marRight w:val="0"/>
      <w:marTop w:val="0"/>
      <w:marBottom w:val="0"/>
      <w:divBdr>
        <w:top w:val="none" w:sz="0" w:space="0" w:color="auto"/>
        <w:left w:val="none" w:sz="0" w:space="0" w:color="auto"/>
        <w:bottom w:val="none" w:sz="0" w:space="0" w:color="auto"/>
        <w:right w:val="none" w:sz="0" w:space="0" w:color="auto"/>
      </w:divBdr>
    </w:div>
    <w:div w:id="1693215498">
      <w:bodyDiv w:val="1"/>
      <w:marLeft w:val="0"/>
      <w:marRight w:val="0"/>
      <w:marTop w:val="0"/>
      <w:marBottom w:val="0"/>
      <w:divBdr>
        <w:top w:val="none" w:sz="0" w:space="0" w:color="auto"/>
        <w:left w:val="none" w:sz="0" w:space="0" w:color="auto"/>
        <w:bottom w:val="none" w:sz="0" w:space="0" w:color="auto"/>
        <w:right w:val="none" w:sz="0" w:space="0" w:color="auto"/>
      </w:divBdr>
    </w:div>
    <w:div w:id="1725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2EDB-8DEC-4911-AD41-2016F766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11130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Cæcilie Lumby</dc:creator>
  <cp:lastModifiedBy>Cæcilie Lumby</cp:lastModifiedBy>
  <cp:revision>3</cp:revision>
  <dcterms:created xsi:type="dcterms:W3CDTF">2018-02-22T22:21:00Z</dcterms:created>
  <dcterms:modified xsi:type="dcterms:W3CDTF">2018-02-23T10:39:00Z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{18066969-72B9-4ADA-84D0-F377397DA14E}</vt:lpwstr>
  </property>
</Properties>
</file>