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26" w:rsidRDefault="00D34026"/>
    <w:p w:rsidR="002E77B3" w:rsidRDefault="002E77B3">
      <w:pPr>
        <w:rPr>
          <w:szCs w:val="20"/>
        </w:rPr>
      </w:pPr>
    </w:p>
    <w:p w:rsidR="002E77B3" w:rsidRPr="00185A40" w:rsidRDefault="002E77B3">
      <w:pPr>
        <w:rPr>
          <w:color w:val="0000FF"/>
          <w:szCs w:val="20"/>
        </w:rPr>
      </w:pPr>
    </w:p>
    <w:p w:rsidR="00D34026" w:rsidRPr="00FF5CB2" w:rsidRDefault="00B73D20" w:rsidP="00B73D20">
      <w:pPr>
        <w:tabs>
          <w:tab w:val="left" w:pos="9195"/>
        </w:tabs>
        <w:rPr>
          <w:szCs w:val="20"/>
        </w:rPr>
      </w:pPr>
      <w:r w:rsidRPr="00FF5CB2">
        <w:rPr>
          <w:szCs w:val="20"/>
        </w:rPr>
        <w:tab/>
      </w:r>
    </w:p>
    <w:p w:rsidR="00D34026" w:rsidRPr="00FF5CB2" w:rsidRDefault="00D34026">
      <w:pPr>
        <w:rPr>
          <w:szCs w:val="20"/>
        </w:rPr>
      </w:pPr>
    </w:p>
    <w:p w:rsidR="00D34026" w:rsidRDefault="00D34026">
      <w:pPr>
        <w:rPr>
          <w:szCs w:val="20"/>
        </w:rPr>
      </w:pPr>
    </w:p>
    <w:p w:rsidR="00677384" w:rsidRDefault="00677384">
      <w:pPr>
        <w:rPr>
          <w:szCs w:val="20"/>
        </w:rPr>
      </w:pPr>
    </w:p>
    <w:p w:rsidR="00CD0E34" w:rsidRDefault="00CD0E34">
      <w:pPr>
        <w:rPr>
          <w:szCs w:val="20"/>
        </w:rPr>
      </w:pPr>
    </w:p>
    <w:p w:rsidR="00CD0E34" w:rsidRDefault="00CD0E34">
      <w:pPr>
        <w:rPr>
          <w:szCs w:val="20"/>
        </w:rPr>
      </w:pPr>
    </w:p>
    <w:p w:rsidR="00CD0E34" w:rsidRDefault="00CD0E34">
      <w:pPr>
        <w:rPr>
          <w:szCs w:val="20"/>
        </w:rPr>
      </w:pPr>
    </w:p>
    <w:p w:rsidR="00677384" w:rsidRDefault="00BB5750" w:rsidP="00EA2F67">
      <w:pPr>
        <w:spacing w:line="312" w:lineRule="auto"/>
        <w:jc w:val="both"/>
        <w:rPr>
          <w:b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5.25pt;margin-top:220pt;width:124.7pt;height:61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4KrgIAAKo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" filled="f" stroked="f">
            <v:textbox inset="0,0,0,0">
              <w:txbxContent>
                <w:p w:rsidR="00740CC0" w:rsidRDefault="00740CC0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</w:rPr>
                  </w:pPr>
                </w:p>
                <w:p w:rsidR="0078656E" w:rsidRDefault="0078656E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GB"/>
                    </w:rPr>
                    <w:t>Dato</w:t>
                  </w:r>
                  <w:proofErr w:type="spellEnd"/>
                  <w:r>
                    <w:rPr>
                      <w:sz w:val="14"/>
                      <w:szCs w:val="14"/>
                      <w:lang w:val="en-GB"/>
                    </w:rPr>
                    <w:t xml:space="preserve">: </w:t>
                  </w:r>
                  <w:r w:rsidR="00E40F3B">
                    <w:rPr>
                      <w:sz w:val="14"/>
                      <w:szCs w:val="14"/>
                      <w:lang w:val="en-GB"/>
                    </w:rPr>
                    <w:t>0</w:t>
                  </w:r>
                  <w:r w:rsidR="00AC77F9">
                    <w:rPr>
                      <w:sz w:val="14"/>
                      <w:szCs w:val="14"/>
                      <w:lang w:val="en-GB"/>
                    </w:rPr>
                    <w:t>7</w:t>
                  </w:r>
                  <w:r w:rsidR="00E40F3B">
                    <w:rPr>
                      <w:sz w:val="14"/>
                      <w:szCs w:val="14"/>
                      <w:lang w:val="en-GB"/>
                    </w:rPr>
                    <w:t>-12-2016</w:t>
                  </w:r>
                </w:p>
                <w:p w:rsidR="0078656E" w:rsidRDefault="0078656E" w:rsidP="007A43A9">
                  <w:pPr>
                    <w:tabs>
                      <w:tab w:val="left" w:pos="180"/>
                    </w:tabs>
                    <w:ind w:right="-285"/>
                    <w:rPr>
                      <w:b/>
                      <w:sz w:val="14"/>
                      <w:szCs w:val="14"/>
                      <w:lang w:val="en-GB"/>
                    </w:rPr>
                  </w:pPr>
                  <w:proofErr w:type="spellStart"/>
                  <w:r w:rsidRPr="00D6632A">
                    <w:rPr>
                      <w:b/>
                      <w:sz w:val="14"/>
                      <w:szCs w:val="14"/>
                      <w:lang w:val="en-GB"/>
                    </w:rPr>
                    <w:t>Sagsnr</w:t>
                  </w:r>
                  <w:proofErr w:type="spellEnd"/>
                  <w:r w:rsidRPr="00D6632A">
                    <w:rPr>
                      <w:b/>
                      <w:sz w:val="14"/>
                      <w:szCs w:val="14"/>
                      <w:lang w:val="en-GB"/>
                    </w:rPr>
                    <w:t xml:space="preserve">.: </w:t>
                  </w:r>
                  <w:r w:rsidR="00E40F3B">
                    <w:rPr>
                      <w:b/>
                      <w:sz w:val="14"/>
                      <w:szCs w:val="14"/>
                      <w:lang w:val="en-GB"/>
                    </w:rPr>
                    <w:t>16/12374</w:t>
                  </w:r>
                  <w:r w:rsidR="00476A36" w:rsidRPr="00D6632A">
                    <w:rPr>
                      <w:b/>
                      <w:sz w:val="14"/>
                      <w:szCs w:val="14"/>
                      <w:lang w:val="en-GB"/>
                    </w:rPr>
                    <w:t>/KC</w:t>
                  </w:r>
                </w:p>
                <w:p w:rsidR="00D6632A" w:rsidRPr="00D6632A" w:rsidRDefault="00E312E1" w:rsidP="007A43A9">
                  <w:pPr>
                    <w:tabs>
                      <w:tab w:val="left" w:pos="180"/>
                    </w:tabs>
                    <w:ind w:right="-285"/>
                    <w:rPr>
                      <w:b/>
                      <w:sz w:val="14"/>
                      <w:szCs w:val="14"/>
                      <w:lang w:val="en-GB"/>
                    </w:rPr>
                  </w:pPr>
                  <w:r>
                    <w:rPr>
                      <w:b/>
                      <w:sz w:val="14"/>
                      <w:szCs w:val="14"/>
                      <w:lang w:val="en-GB"/>
                    </w:rPr>
                    <w:t xml:space="preserve">Cpr.nr.: </w:t>
                  </w:r>
                  <w:proofErr w:type="spellStart"/>
                  <w:r w:rsidR="00E40F3B">
                    <w:rPr>
                      <w:b/>
                      <w:sz w:val="14"/>
                      <w:szCs w:val="14"/>
                      <w:lang w:val="en-GB"/>
                    </w:rPr>
                    <w:t>Emnesag</w:t>
                  </w:r>
                  <w:proofErr w:type="spellEnd"/>
                  <w:r w:rsidR="00E40F3B">
                    <w:rPr>
                      <w:b/>
                      <w:sz w:val="14"/>
                      <w:szCs w:val="14"/>
                      <w:lang w:val="en-GB"/>
                    </w:rPr>
                    <w:t xml:space="preserve"> om </w:t>
                  </w:r>
                  <w:proofErr w:type="spellStart"/>
                  <w:r w:rsidR="00E40F3B">
                    <w:rPr>
                      <w:b/>
                      <w:sz w:val="14"/>
                      <w:szCs w:val="14"/>
                      <w:lang w:val="en-GB"/>
                    </w:rPr>
                    <w:t>lægevalgspraksis</w:t>
                  </w:r>
                  <w:proofErr w:type="spellEnd"/>
                </w:p>
                <w:p w:rsidR="0078656E" w:rsidRDefault="0078656E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GB"/>
                    </w:rPr>
                    <w:t>Sagsbeh</w:t>
                  </w:r>
                  <w:proofErr w:type="spellEnd"/>
                  <w:r>
                    <w:rPr>
                      <w:sz w:val="14"/>
                      <w:szCs w:val="14"/>
                      <w:lang w:val="en-GB"/>
                    </w:rPr>
                    <w:t xml:space="preserve">.: </w:t>
                  </w:r>
                  <w:proofErr w:type="spellStart"/>
                  <w:r w:rsidR="00E40F3B">
                    <w:rPr>
                      <w:sz w:val="14"/>
                      <w:szCs w:val="14"/>
                      <w:lang w:val="en-GB"/>
                    </w:rPr>
                    <w:t>Jaf</w:t>
                  </w:r>
                  <w:proofErr w:type="spellEnd"/>
                </w:p>
                <w:p w:rsidR="0078656E" w:rsidRPr="00E12855" w:rsidRDefault="0078656E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  <w:lang w:val="en-GB"/>
                    </w:rPr>
                  </w:pPr>
                </w:p>
                <w:p w:rsidR="00673DEC" w:rsidRDefault="00735F0C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Styrelsen for Patientsikkerhed</w:t>
                  </w:r>
                </w:p>
                <w:p w:rsidR="00673DEC" w:rsidRDefault="00673DEC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Finsensvej 15</w:t>
                  </w:r>
                </w:p>
                <w:p w:rsidR="00673DEC" w:rsidRDefault="00673DEC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2000 Frederiksberg</w:t>
                  </w:r>
                </w:p>
                <w:p w:rsidR="0078656E" w:rsidRDefault="0078656E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Tlf. +45 7228 6600</w:t>
                  </w:r>
                </w:p>
                <w:p w:rsidR="0078656E" w:rsidRDefault="0078656E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Telefontid: 10:00-14:00</w:t>
                  </w:r>
                </w:p>
                <w:p w:rsidR="0078656E" w:rsidRDefault="0078656E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</w:rPr>
                  </w:pPr>
                </w:p>
                <w:p w:rsidR="0078656E" w:rsidRDefault="0078656E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</w:rPr>
                  </w:pPr>
                </w:p>
                <w:p w:rsidR="0078656E" w:rsidRPr="00406376" w:rsidRDefault="00BB5750" w:rsidP="007A43A9">
                  <w:pPr>
                    <w:tabs>
                      <w:tab w:val="left" w:pos="180"/>
                    </w:tabs>
                    <w:ind w:right="-285"/>
                    <w:rPr>
                      <w:sz w:val="14"/>
                      <w:szCs w:val="14"/>
                    </w:rPr>
                  </w:pPr>
                  <w:hyperlink r:id="rId8" w:history="1">
                    <w:r w:rsidR="0078656E" w:rsidRPr="00406376">
                      <w:rPr>
                        <w:rStyle w:val="Hyperlink"/>
                        <w:color w:val="auto"/>
                        <w:sz w:val="14"/>
                        <w:szCs w:val="14"/>
                      </w:rPr>
                      <w:t>pob@patientombuddet.dk</w:t>
                    </w:r>
                  </w:hyperlink>
                </w:p>
                <w:p w:rsidR="0078656E" w:rsidRPr="007A43A9" w:rsidRDefault="00BB5750" w:rsidP="007A43A9">
                  <w:pPr>
                    <w:rPr>
                      <w:szCs w:val="12"/>
                    </w:rPr>
                  </w:pPr>
                  <w:hyperlink r:id="rId9" w:history="1">
                    <w:r w:rsidR="007A43A9" w:rsidRPr="007A43A9">
                      <w:rPr>
                        <w:rStyle w:val="Hyperlink"/>
                        <w:color w:val="auto"/>
                        <w:sz w:val="14"/>
                        <w:szCs w:val="14"/>
                      </w:rPr>
                      <w:t>www.stps.dk</w:t>
                    </w:r>
                  </w:hyperlink>
                </w:p>
                <w:p w:rsidR="006B2415" w:rsidRPr="00FF5CB2" w:rsidRDefault="006B2415" w:rsidP="007A43A9">
                  <w:pPr>
                    <w:tabs>
                      <w:tab w:val="left" w:pos="360"/>
                    </w:tabs>
                    <w:ind w:right="-285"/>
                    <w:rPr>
                      <w:sz w:val="12"/>
                      <w:szCs w:val="12"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="00CD0E34">
        <w:rPr>
          <w:b/>
          <w:szCs w:val="20"/>
        </w:rPr>
        <w:t>Notat</w:t>
      </w:r>
      <w:r w:rsidR="00475F1D">
        <w:rPr>
          <w:b/>
          <w:szCs w:val="20"/>
        </w:rPr>
        <w:t xml:space="preserve"> </w:t>
      </w:r>
      <w:r w:rsidR="00EB7F38">
        <w:rPr>
          <w:b/>
          <w:szCs w:val="20"/>
        </w:rPr>
        <w:t>om håndtering af sager om lægevalg</w:t>
      </w:r>
    </w:p>
    <w:p w:rsidR="00475F1D" w:rsidRDefault="00475F1D" w:rsidP="00EA2F67">
      <w:pPr>
        <w:spacing w:line="312" w:lineRule="auto"/>
        <w:jc w:val="both"/>
        <w:rPr>
          <w:b/>
          <w:szCs w:val="20"/>
        </w:rPr>
      </w:pPr>
    </w:p>
    <w:p w:rsidR="00277A5E" w:rsidRDefault="00277A5E" w:rsidP="00EA2F67">
      <w:pPr>
        <w:spacing w:line="312" w:lineRule="auto"/>
        <w:jc w:val="both"/>
        <w:rPr>
          <w:szCs w:val="20"/>
        </w:rPr>
      </w:pPr>
      <w:r w:rsidRPr="00277A5E">
        <w:rPr>
          <w:szCs w:val="20"/>
        </w:rPr>
        <w:t>Styrelsen for Patientsikkerhed</w:t>
      </w:r>
      <w:r>
        <w:rPr>
          <w:szCs w:val="20"/>
        </w:rPr>
        <w:t xml:space="preserve"> har modtaget en række klager over kommunernes afgørelser om lægevalg </w:t>
      </w:r>
      <w:r w:rsidR="00EB7F38">
        <w:rPr>
          <w:szCs w:val="20"/>
        </w:rPr>
        <w:t>i forbindelse med borgeres flytning af bopæl. I de omhandlede sager har kommunerne sti</w:t>
      </w:r>
      <w:r w:rsidR="00EB7F38">
        <w:rPr>
          <w:szCs w:val="20"/>
        </w:rPr>
        <w:t>l</w:t>
      </w:r>
      <w:r w:rsidR="00EB7F38">
        <w:rPr>
          <w:szCs w:val="20"/>
        </w:rPr>
        <w:t xml:space="preserve">let krav om, at borgeren skulle foretage nyt lægevalg, </w:t>
      </w:r>
      <w:r w:rsidR="009B00C2">
        <w:rPr>
          <w:szCs w:val="20"/>
        </w:rPr>
        <w:t>med den vir</w:t>
      </w:r>
      <w:r w:rsidR="009B00C2">
        <w:rPr>
          <w:szCs w:val="20"/>
        </w:rPr>
        <w:t>k</w:t>
      </w:r>
      <w:r w:rsidR="009B00C2">
        <w:rPr>
          <w:szCs w:val="20"/>
        </w:rPr>
        <w:t xml:space="preserve">ning </w:t>
      </w:r>
      <w:r w:rsidR="00EB7F38">
        <w:rPr>
          <w:szCs w:val="20"/>
        </w:rPr>
        <w:t>at borgere, der har ønsket at beholde deres hidtidige l</w:t>
      </w:r>
      <w:r w:rsidR="00EB7F38">
        <w:rPr>
          <w:szCs w:val="20"/>
        </w:rPr>
        <w:t>æ</w:t>
      </w:r>
      <w:r w:rsidR="00EB7F38">
        <w:rPr>
          <w:szCs w:val="20"/>
        </w:rPr>
        <w:t>ge</w:t>
      </w:r>
      <w:r w:rsidR="009B00C2">
        <w:rPr>
          <w:szCs w:val="20"/>
        </w:rPr>
        <w:t>, ikke har haft mulighed for det, hvis lægen har lukket for patientti</w:t>
      </w:r>
      <w:r w:rsidR="009B00C2">
        <w:rPr>
          <w:szCs w:val="20"/>
        </w:rPr>
        <w:t>l</w:t>
      </w:r>
      <w:r w:rsidR="009B00C2">
        <w:rPr>
          <w:szCs w:val="20"/>
        </w:rPr>
        <w:t>gang.</w:t>
      </w:r>
    </w:p>
    <w:p w:rsidR="00EB7F38" w:rsidRDefault="00EB7F38" w:rsidP="00EA2F67">
      <w:pPr>
        <w:spacing w:line="312" w:lineRule="auto"/>
        <w:jc w:val="both"/>
        <w:rPr>
          <w:szCs w:val="20"/>
        </w:rPr>
      </w:pPr>
    </w:p>
    <w:p w:rsidR="006319AA" w:rsidRDefault="00277A5E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 xml:space="preserve">Efter styrelsens opfattelse er der ikke hjemmel </w:t>
      </w:r>
      <w:r w:rsidR="00EB7F38">
        <w:rPr>
          <w:szCs w:val="20"/>
        </w:rPr>
        <w:t xml:space="preserve">i lovgivningen </w:t>
      </w:r>
      <w:r>
        <w:rPr>
          <w:szCs w:val="20"/>
        </w:rPr>
        <w:t xml:space="preserve">til, at en kommune kan kræve, at en borger, der flytter </w:t>
      </w:r>
      <w:r w:rsidRPr="00EB7F38">
        <w:rPr>
          <w:i/>
          <w:szCs w:val="20"/>
        </w:rPr>
        <w:t>inden for</w:t>
      </w:r>
      <w:r>
        <w:rPr>
          <w:szCs w:val="20"/>
        </w:rPr>
        <w:t xml:space="preserve"> komm</w:t>
      </w:r>
      <w:r>
        <w:rPr>
          <w:szCs w:val="20"/>
        </w:rPr>
        <w:t>u</w:t>
      </w:r>
      <w:r>
        <w:rPr>
          <w:szCs w:val="20"/>
        </w:rPr>
        <w:t>nen, skal foretage nyt lægevalg.</w:t>
      </w:r>
      <w:r w:rsidR="00EB7F38">
        <w:rPr>
          <w:szCs w:val="20"/>
        </w:rPr>
        <w:t xml:space="preserve"> Borgeren har således i disse tilfæ</w:t>
      </w:r>
      <w:r w:rsidR="00EB7F38">
        <w:rPr>
          <w:szCs w:val="20"/>
        </w:rPr>
        <w:t>l</w:t>
      </w:r>
      <w:r w:rsidR="00EB7F38">
        <w:rPr>
          <w:szCs w:val="20"/>
        </w:rPr>
        <w:t>de ret til at beholde sin hidtidige læge, uanset om lægen har lu</w:t>
      </w:r>
      <w:r w:rsidR="00EB7F38">
        <w:rPr>
          <w:szCs w:val="20"/>
        </w:rPr>
        <w:t>k</w:t>
      </w:r>
      <w:r w:rsidR="00EB7F38">
        <w:rPr>
          <w:szCs w:val="20"/>
        </w:rPr>
        <w:t>ket for patien</w:t>
      </w:r>
      <w:r w:rsidR="00EB7F38">
        <w:rPr>
          <w:szCs w:val="20"/>
        </w:rPr>
        <w:t>t</w:t>
      </w:r>
      <w:r w:rsidR="00EB7F38">
        <w:rPr>
          <w:szCs w:val="20"/>
        </w:rPr>
        <w:t>tilgang.</w:t>
      </w:r>
      <w:r w:rsidR="006319AA">
        <w:rPr>
          <w:szCs w:val="20"/>
        </w:rPr>
        <w:t xml:space="preserve"> </w:t>
      </w:r>
    </w:p>
    <w:p w:rsidR="006319AA" w:rsidRDefault="006319AA" w:rsidP="00EA2F67">
      <w:pPr>
        <w:spacing w:line="312" w:lineRule="auto"/>
        <w:jc w:val="both"/>
        <w:rPr>
          <w:szCs w:val="20"/>
        </w:rPr>
      </w:pPr>
    </w:p>
    <w:p w:rsidR="00277A5E" w:rsidRDefault="006319AA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 xml:space="preserve">Styrelsen vil således underkende kommunernes </w:t>
      </w:r>
      <w:r w:rsidR="00F2619D">
        <w:rPr>
          <w:szCs w:val="20"/>
        </w:rPr>
        <w:t>afgørelser</w:t>
      </w:r>
      <w:r>
        <w:rPr>
          <w:szCs w:val="20"/>
        </w:rPr>
        <w:t xml:space="preserve"> herom.</w:t>
      </w:r>
    </w:p>
    <w:p w:rsidR="00EB7F38" w:rsidRDefault="00EB7F38" w:rsidP="00EA2F67">
      <w:pPr>
        <w:spacing w:line="312" w:lineRule="auto"/>
        <w:jc w:val="both"/>
        <w:rPr>
          <w:szCs w:val="20"/>
        </w:rPr>
      </w:pPr>
    </w:p>
    <w:p w:rsidR="00277A5E" w:rsidRDefault="00205167" w:rsidP="005F3356">
      <w:pPr>
        <w:spacing w:line="312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Kommunernes pligt til genoptagelse af sager</w:t>
      </w:r>
    </w:p>
    <w:p w:rsidR="00475F1D" w:rsidRDefault="00277A5E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>Det antages</w:t>
      </w:r>
      <w:r w:rsidR="005F3356">
        <w:rPr>
          <w:szCs w:val="20"/>
        </w:rPr>
        <w:t xml:space="preserve"> efter almindelige forvaltningsretlige grundsætninger</w:t>
      </w:r>
      <w:r>
        <w:rPr>
          <w:szCs w:val="20"/>
        </w:rPr>
        <w:t>, at v</w:t>
      </w:r>
      <w:r w:rsidR="00475F1D">
        <w:rPr>
          <w:szCs w:val="20"/>
        </w:rPr>
        <w:t>æsentlige ændringer i retsopfattelsen vedrørende retsregler, me</w:t>
      </w:r>
      <w:r w:rsidR="00475F1D">
        <w:rPr>
          <w:szCs w:val="20"/>
        </w:rPr>
        <w:t>d</w:t>
      </w:r>
      <w:r w:rsidR="00475F1D">
        <w:rPr>
          <w:szCs w:val="20"/>
        </w:rPr>
        <w:t>føre</w:t>
      </w:r>
      <w:r>
        <w:rPr>
          <w:szCs w:val="20"/>
        </w:rPr>
        <w:t>r</w:t>
      </w:r>
      <w:r w:rsidR="00475F1D">
        <w:rPr>
          <w:szCs w:val="20"/>
        </w:rPr>
        <w:t xml:space="preserve"> at en myndighed er forpligtet til på </w:t>
      </w:r>
      <w:proofErr w:type="spellStart"/>
      <w:r w:rsidR="00475F1D">
        <w:rPr>
          <w:szCs w:val="20"/>
        </w:rPr>
        <w:t>ulovbestemt</w:t>
      </w:r>
      <w:proofErr w:type="spellEnd"/>
      <w:r w:rsidR="00475F1D">
        <w:rPr>
          <w:szCs w:val="20"/>
        </w:rPr>
        <w:t xml:space="preserve"> grundlag at genoptage tidligere trufne afg</w:t>
      </w:r>
      <w:r w:rsidR="00475F1D">
        <w:rPr>
          <w:szCs w:val="20"/>
        </w:rPr>
        <w:t>ø</w:t>
      </w:r>
      <w:r w:rsidR="00475F1D">
        <w:rPr>
          <w:szCs w:val="20"/>
        </w:rPr>
        <w:t xml:space="preserve">relser. Se hertil FOB2006.436. </w:t>
      </w:r>
    </w:p>
    <w:p w:rsidR="00277A5E" w:rsidRDefault="00277A5E" w:rsidP="00EA2F67">
      <w:pPr>
        <w:spacing w:line="312" w:lineRule="auto"/>
        <w:jc w:val="both"/>
        <w:rPr>
          <w:szCs w:val="20"/>
        </w:rPr>
      </w:pPr>
    </w:p>
    <w:p w:rsidR="00475F1D" w:rsidRPr="00475F1D" w:rsidRDefault="00475F1D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 xml:space="preserve">Spørgsmålet er om genoptagelse skal ske af egen drift eller efter anmodning. I FOB2003.357 udtalte Ombudsmanden følgende:  </w:t>
      </w:r>
    </w:p>
    <w:p w:rsidR="00CD0E34" w:rsidRDefault="00475F1D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>[citat]</w:t>
      </w:r>
    </w:p>
    <w:p w:rsidR="00475F1D" w:rsidRPr="00475F1D" w:rsidRDefault="00475F1D" w:rsidP="00475F1D">
      <w:pPr>
        <w:spacing w:line="312" w:lineRule="auto"/>
        <w:jc w:val="both"/>
        <w:rPr>
          <w:i/>
          <w:szCs w:val="20"/>
        </w:rPr>
      </w:pPr>
      <w:r w:rsidRPr="00475F1D">
        <w:rPr>
          <w:i/>
          <w:szCs w:val="20"/>
        </w:rPr>
        <w:t>”Der er ingen tvivl om at</w:t>
      </w:r>
      <w:r>
        <w:rPr>
          <w:i/>
          <w:szCs w:val="20"/>
        </w:rPr>
        <w:t xml:space="preserve"> en borger der har fået sin sag </w:t>
      </w:r>
      <w:r w:rsidRPr="00475F1D">
        <w:rPr>
          <w:i/>
          <w:szCs w:val="20"/>
        </w:rPr>
        <w:t>afgjort efter den underkendte praksis, kan forlange sin sag genoptaget hvis det må antages at sagens udfald nu vil blive et andet. Om myndigh</w:t>
      </w:r>
      <w:r w:rsidRPr="00475F1D">
        <w:rPr>
          <w:i/>
          <w:szCs w:val="20"/>
        </w:rPr>
        <w:t>e</w:t>
      </w:r>
      <w:r w:rsidRPr="00475F1D">
        <w:rPr>
          <w:i/>
          <w:szCs w:val="20"/>
        </w:rPr>
        <w:t xml:space="preserve">derne på eget initiativ har pligt til at genoptage tidligere afgjorte sager, beror på om der er tale om </w:t>
      </w:r>
      <w:r w:rsidRPr="00475F1D">
        <w:rPr>
          <w:i/>
          <w:szCs w:val="20"/>
          <w:u w:val="single"/>
        </w:rPr>
        <w:t>væsentlige ændringer til gunst for den pågældende</w:t>
      </w:r>
      <w:r w:rsidRPr="00475F1D">
        <w:rPr>
          <w:i/>
          <w:szCs w:val="20"/>
        </w:rPr>
        <w:t xml:space="preserve">, om myndighedernes nu underkendte praksis var udtryk for en </w:t>
      </w:r>
      <w:r w:rsidRPr="00475F1D">
        <w:rPr>
          <w:i/>
          <w:szCs w:val="20"/>
          <w:u w:val="single"/>
        </w:rPr>
        <w:t>klar lovstr</w:t>
      </w:r>
      <w:r w:rsidRPr="00475F1D">
        <w:rPr>
          <w:i/>
          <w:szCs w:val="20"/>
          <w:u w:val="single"/>
        </w:rPr>
        <w:t>i</w:t>
      </w:r>
      <w:r w:rsidRPr="00475F1D">
        <w:rPr>
          <w:i/>
          <w:szCs w:val="20"/>
          <w:u w:val="single"/>
        </w:rPr>
        <w:t>dig praksis</w:t>
      </w:r>
      <w:r w:rsidRPr="00475F1D">
        <w:rPr>
          <w:i/>
          <w:szCs w:val="20"/>
        </w:rPr>
        <w:t xml:space="preserve">. og om der er </w:t>
      </w:r>
      <w:r w:rsidRPr="00475F1D">
        <w:rPr>
          <w:i/>
          <w:szCs w:val="20"/>
          <w:u w:val="single"/>
        </w:rPr>
        <w:t>væsentlige praktiske problemer</w:t>
      </w:r>
      <w:r>
        <w:rPr>
          <w:i/>
          <w:szCs w:val="20"/>
        </w:rPr>
        <w:t xml:space="preserve"> m</w:t>
      </w:r>
      <w:r w:rsidRPr="00475F1D">
        <w:rPr>
          <w:i/>
          <w:szCs w:val="20"/>
        </w:rPr>
        <w:t>ed at identificere de relevante s</w:t>
      </w:r>
      <w:r w:rsidRPr="00475F1D">
        <w:rPr>
          <w:i/>
          <w:szCs w:val="20"/>
        </w:rPr>
        <w:t>a</w:t>
      </w:r>
      <w:r w:rsidRPr="00475F1D">
        <w:rPr>
          <w:i/>
          <w:szCs w:val="20"/>
        </w:rPr>
        <w:t>ger.”</w:t>
      </w:r>
    </w:p>
    <w:p w:rsidR="00CD0E34" w:rsidRDefault="00475F1D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>…</w:t>
      </w:r>
    </w:p>
    <w:p w:rsidR="00475F1D" w:rsidRPr="005F4E82" w:rsidRDefault="00475F1D" w:rsidP="00475F1D">
      <w:pPr>
        <w:spacing w:line="312" w:lineRule="auto"/>
        <w:jc w:val="both"/>
        <w:rPr>
          <w:i/>
          <w:szCs w:val="20"/>
        </w:rPr>
      </w:pPr>
      <w:r w:rsidRPr="005F4E82">
        <w:rPr>
          <w:i/>
          <w:szCs w:val="20"/>
        </w:rPr>
        <w:t>"Ved besvarelsen af spørgsmålet om, hvornår forvaltningen er forpligtet til af egen drift at o</w:t>
      </w:r>
      <w:r w:rsidRPr="005F4E82">
        <w:rPr>
          <w:i/>
          <w:szCs w:val="20"/>
        </w:rPr>
        <w:t>m</w:t>
      </w:r>
      <w:r w:rsidRPr="005F4E82">
        <w:rPr>
          <w:i/>
          <w:szCs w:val="20"/>
        </w:rPr>
        <w:t>gøre en afgørelse, må der formentlig især lægges vægt på to kriterier. For det første, om fo</w:t>
      </w:r>
      <w:r w:rsidRPr="005F4E82">
        <w:rPr>
          <w:i/>
          <w:szCs w:val="20"/>
        </w:rPr>
        <w:t>r</w:t>
      </w:r>
      <w:r w:rsidRPr="005F4E82">
        <w:rPr>
          <w:i/>
          <w:szCs w:val="20"/>
        </w:rPr>
        <w:t xml:space="preserve">valtningens tidligere </w:t>
      </w:r>
      <w:proofErr w:type="spellStart"/>
      <w:r w:rsidRPr="005F4E82">
        <w:rPr>
          <w:i/>
          <w:szCs w:val="20"/>
        </w:rPr>
        <w:t>retsanvendelse</w:t>
      </w:r>
      <w:proofErr w:type="spellEnd"/>
      <w:r w:rsidRPr="005F4E82">
        <w:rPr>
          <w:i/>
          <w:szCs w:val="20"/>
        </w:rPr>
        <w:t xml:space="preserve"> eller praksis har været udtryk for en mere eller mindre klar ulovlighed </w:t>
      </w:r>
      <w:r w:rsidR="005F4E82" w:rsidRPr="005F4E82">
        <w:rPr>
          <w:i/>
          <w:szCs w:val="20"/>
        </w:rPr>
        <w:t>(</w:t>
      </w:r>
      <w:r w:rsidRPr="005F4E82">
        <w:rPr>
          <w:i/>
          <w:szCs w:val="20"/>
        </w:rPr>
        <w:t>om der i den ene ende af sk</w:t>
      </w:r>
      <w:r w:rsidRPr="005F4E82">
        <w:rPr>
          <w:i/>
          <w:szCs w:val="20"/>
        </w:rPr>
        <w:t>a</w:t>
      </w:r>
      <w:r w:rsidRPr="005F4E82">
        <w:rPr>
          <w:i/>
          <w:szCs w:val="20"/>
        </w:rPr>
        <w:t>laen er truffet ugyldige afgørelser eller har været tale om en uforsvarlig - og efter omstændighederne erstatningspådragende - forval</w:t>
      </w:r>
      <w:r w:rsidRPr="005F4E82">
        <w:rPr>
          <w:i/>
          <w:szCs w:val="20"/>
        </w:rPr>
        <w:t>t</w:t>
      </w:r>
      <w:r w:rsidRPr="005F4E82">
        <w:rPr>
          <w:i/>
          <w:szCs w:val="20"/>
        </w:rPr>
        <w:t>ning eller der i den anden ende af skalaen har været tale om en undskyldelig retsvildfarelse eller et valg mellem 2 for så vidt lige gode rets</w:t>
      </w:r>
      <w:r w:rsidR="005F4E82" w:rsidRPr="005F4E82">
        <w:rPr>
          <w:i/>
          <w:szCs w:val="20"/>
        </w:rPr>
        <w:t>opfattelse</w:t>
      </w:r>
      <w:r w:rsidRPr="005F4E82">
        <w:rPr>
          <w:i/>
          <w:szCs w:val="20"/>
        </w:rPr>
        <w:t>). Og for det andet, om</w:t>
      </w:r>
      <w:r w:rsidR="005F4E82" w:rsidRPr="005F4E82">
        <w:rPr>
          <w:i/>
          <w:szCs w:val="20"/>
        </w:rPr>
        <w:t xml:space="preserve"> en genoptagelse af s</w:t>
      </w:r>
      <w:r w:rsidR="005F4E82" w:rsidRPr="005F4E82">
        <w:rPr>
          <w:i/>
          <w:szCs w:val="20"/>
        </w:rPr>
        <w:t>a</w:t>
      </w:r>
      <w:r w:rsidR="005F4E82" w:rsidRPr="005F4E82">
        <w:rPr>
          <w:i/>
          <w:szCs w:val="20"/>
        </w:rPr>
        <w:t>gerne af e</w:t>
      </w:r>
      <w:r w:rsidRPr="005F4E82">
        <w:rPr>
          <w:i/>
          <w:szCs w:val="20"/>
        </w:rPr>
        <w:t>gen drift vil volde større eller mindre administrative vanskeligheder (om det i den ene ende af skal</w:t>
      </w:r>
      <w:r w:rsidRPr="005F4E82">
        <w:rPr>
          <w:i/>
          <w:szCs w:val="20"/>
        </w:rPr>
        <w:t>a</w:t>
      </w:r>
      <w:r w:rsidRPr="005F4E82">
        <w:rPr>
          <w:i/>
          <w:szCs w:val="20"/>
        </w:rPr>
        <w:t>en vil være faktisk umuligt eller dog særdeles vanskeligt og overordentligt ressourcekrævende at finde frem til de relevante sager, eller det i den anden ende af skalaen vil være forholdsvis ukomplic</w:t>
      </w:r>
      <w:r w:rsidRPr="005F4E82">
        <w:rPr>
          <w:i/>
          <w:szCs w:val="20"/>
        </w:rPr>
        <w:t>e</w:t>
      </w:r>
      <w:r w:rsidRPr="005F4E82">
        <w:rPr>
          <w:i/>
          <w:szCs w:val="20"/>
        </w:rPr>
        <w:t>ret på baggrund af de oplysninger og de registreringssystemer myndigheden har til at finde frem til sage</w:t>
      </w:r>
      <w:r w:rsidRPr="005F4E82">
        <w:rPr>
          <w:i/>
          <w:szCs w:val="20"/>
        </w:rPr>
        <w:t>r</w:t>
      </w:r>
      <w:r w:rsidRPr="005F4E82">
        <w:rPr>
          <w:i/>
          <w:szCs w:val="20"/>
        </w:rPr>
        <w:t>ne).</w:t>
      </w:r>
      <w:r w:rsidR="005F4E82">
        <w:rPr>
          <w:i/>
          <w:szCs w:val="20"/>
        </w:rPr>
        <w:t>”</w:t>
      </w:r>
      <w:r w:rsidRPr="005F4E82">
        <w:rPr>
          <w:i/>
          <w:szCs w:val="20"/>
        </w:rPr>
        <w:t xml:space="preserve"> </w:t>
      </w:r>
    </w:p>
    <w:p w:rsidR="00475F1D" w:rsidRDefault="00475F1D" w:rsidP="00EA2F67">
      <w:pPr>
        <w:spacing w:line="312" w:lineRule="auto"/>
        <w:jc w:val="both"/>
        <w:rPr>
          <w:szCs w:val="20"/>
        </w:rPr>
      </w:pPr>
    </w:p>
    <w:p w:rsidR="004D727D" w:rsidRDefault="004D727D" w:rsidP="004D727D">
      <w:pPr>
        <w:spacing w:line="312" w:lineRule="auto"/>
        <w:jc w:val="both"/>
        <w:rPr>
          <w:szCs w:val="20"/>
        </w:rPr>
      </w:pPr>
      <w:r w:rsidRPr="004D727D">
        <w:rPr>
          <w:szCs w:val="20"/>
        </w:rPr>
        <w:t>Kommunerne vil – på baggrund af styrelsens afgørelser – utvivlsomt være forpligtet til efter anmodning at genoptage sager om lægevalg for så vidt angår borgere, som er flyttet inden for kommunen.</w:t>
      </w:r>
    </w:p>
    <w:p w:rsidR="004D727D" w:rsidRPr="004D727D" w:rsidRDefault="004D727D" w:rsidP="004D727D">
      <w:pPr>
        <w:spacing w:line="312" w:lineRule="auto"/>
        <w:jc w:val="both"/>
        <w:rPr>
          <w:szCs w:val="20"/>
        </w:rPr>
      </w:pPr>
    </w:p>
    <w:p w:rsidR="005F4E82" w:rsidRDefault="004D727D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 xml:space="preserve">Hvorvidt kommunerne har pligt til af egne drift at genoptage sagerne beror på </w:t>
      </w:r>
      <w:r w:rsidR="005F4E82">
        <w:rPr>
          <w:szCs w:val="20"/>
        </w:rPr>
        <w:t>en afvejning af graden af ulovlighed og kommunernes mulighed for at identificere de tilfælde, hvor praksisæ</w:t>
      </w:r>
      <w:r w:rsidR="005F4E82">
        <w:rPr>
          <w:szCs w:val="20"/>
        </w:rPr>
        <w:t>n</w:t>
      </w:r>
      <w:r w:rsidR="005F4E82">
        <w:rPr>
          <w:szCs w:val="20"/>
        </w:rPr>
        <w:t>dringen har medført, at en borger ikke fik mulighed for at beholde sin nuværende læge ved fly</w:t>
      </w:r>
      <w:r w:rsidR="005F4E82">
        <w:rPr>
          <w:szCs w:val="20"/>
        </w:rPr>
        <w:t>t</w:t>
      </w:r>
      <w:r w:rsidR="005F4E82">
        <w:rPr>
          <w:szCs w:val="20"/>
        </w:rPr>
        <w:t>ning ud over km-grænsen inden for samme komm</w:t>
      </w:r>
      <w:r w:rsidR="005F4E82">
        <w:rPr>
          <w:szCs w:val="20"/>
        </w:rPr>
        <w:t>u</w:t>
      </w:r>
      <w:r w:rsidR="005F4E82">
        <w:rPr>
          <w:szCs w:val="20"/>
        </w:rPr>
        <w:t>ne.</w:t>
      </w:r>
    </w:p>
    <w:p w:rsidR="005F4E82" w:rsidRDefault="005F4E82" w:rsidP="00EA2F67">
      <w:pPr>
        <w:spacing w:line="312" w:lineRule="auto"/>
        <w:jc w:val="both"/>
        <w:rPr>
          <w:szCs w:val="20"/>
        </w:rPr>
      </w:pPr>
    </w:p>
    <w:p w:rsidR="00277A5E" w:rsidRDefault="00AB2A47" w:rsidP="00AB2A47">
      <w:pPr>
        <w:spacing w:line="312" w:lineRule="auto"/>
        <w:jc w:val="both"/>
        <w:rPr>
          <w:szCs w:val="20"/>
        </w:rPr>
      </w:pPr>
      <w:r>
        <w:rPr>
          <w:szCs w:val="20"/>
        </w:rPr>
        <w:t>Styrelsen har ikke kendskab til omfanget af personer, der er berørt af kommunernes praksisæ</w:t>
      </w:r>
      <w:r>
        <w:rPr>
          <w:szCs w:val="20"/>
        </w:rPr>
        <w:t>n</w:t>
      </w:r>
      <w:r>
        <w:rPr>
          <w:szCs w:val="20"/>
        </w:rPr>
        <w:t>dring. Dette vil dog principielt omfatte alle borgere som er flyttet udover km-grænsen inden for samme kommune siden 2. september 2016 – uanset om borgeren har henvendt sig til komm</w:t>
      </w:r>
      <w:r>
        <w:rPr>
          <w:szCs w:val="20"/>
        </w:rPr>
        <w:t>u</w:t>
      </w:r>
      <w:r>
        <w:rPr>
          <w:szCs w:val="20"/>
        </w:rPr>
        <w:t xml:space="preserve">nen. </w:t>
      </w:r>
      <w:r w:rsidR="00277A5E">
        <w:rPr>
          <w:szCs w:val="20"/>
        </w:rPr>
        <w:t>Styrelsen formoder derfor, at der er tale om et ganske stort antal sager. Hertil kommer, at kommunernes praksisændring var baseret på en udmelding fra ministeriet, der var bragt i OK-nyt. Ved en genoptagelse af sagen er det desuden nødvendigt at undersøge, dels om borgeren nu ø</w:t>
      </w:r>
      <w:r w:rsidR="00277A5E">
        <w:rPr>
          <w:szCs w:val="20"/>
        </w:rPr>
        <w:t>n</w:t>
      </w:r>
      <w:r w:rsidR="00277A5E">
        <w:rPr>
          <w:szCs w:val="20"/>
        </w:rPr>
        <w:t>sker at skifte tilbage til sin hidtidige læge, dels om borgeren er indstillet på i givet fald at acceptere at give afkald på retten til sygebesøg i hjemmet.</w:t>
      </w:r>
    </w:p>
    <w:p w:rsidR="00277A5E" w:rsidRDefault="00277A5E" w:rsidP="00AB2A47">
      <w:pPr>
        <w:spacing w:line="312" w:lineRule="auto"/>
        <w:jc w:val="both"/>
        <w:rPr>
          <w:szCs w:val="20"/>
        </w:rPr>
      </w:pPr>
    </w:p>
    <w:p w:rsidR="00AB2A47" w:rsidRPr="005F4E82" w:rsidRDefault="00277A5E" w:rsidP="00AB2A47">
      <w:pPr>
        <w:spacing w:line="312" w:lineRule="auto"/>
        <w:jc w:val="both"/>
        <w:rPr>
          <w:szCs w:val="20"/>
        </w:rPr>
      </w:pPr>
      <w:r>
        <w:rPr>
          <w:szCs w:val="20"/>
        </w:rPr>
        <w:t>Det taler efter styrelsens umiddelbare opfattelse for, at det vil være tilstrækkeligt, at komm</w:t>
      </w:r>
      <w:r>
        <w:rPr>
          <w:szCs w:val="20"/>
        </w:rPr>
        <w:t>u</w:t>
      </w:r>
      <w:r>
        <w:rPr>
          <w:szCs w:val="20"/>
        </w:rPr>
        <w:t>nerne ge</w:t>
      </w:r>
      <w:r>
        <w:rPr>
          <w:szCs w:val="20"/>
        </w:rPr>
        <w:t>n</w:t>
      </w:r>
      <w:r>
        <w:rPr>
          <w:szCs w:val="20"/>
        </w:rPr>
        <w:t>optager sager efter anmodning fra berørte borgere.</w:t>
      </w:r>
    </w:p>
    <w:p w:rsidR="00AB2A47" w:rsidRDefault="00AB2A47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 xml:space="preserve"> </w:t>
      </w:r>
    </w:p>
    <w:p w:rsidR="005F3356" w:rsidRPr="005F3356" w:rsidRDefault="005F3356" w:rsidP="00EA2F67">
      <w:pPr>
        <w:spacing w:line="312" w:lineRule="auto"/>
        <w:jc w:val="both"/>
        <w:rPr>
          <w:szCs w:val="20"/>
          <w:u w:val="single"/>
        </w:rPr>
      </w:pPr>
      <w:r w:rsidRPr="005F3356">
        <w:rPr>
          <w:szCs w:val="20"/>
          <w:u w:val="single"/>
        </w:rPr>
        <w:t>Kommunernes pligt til at annoncere praksisændringen</w:t>
      </w:r>
    </w:p>
    <w:p w:rsidR="00ED34E8" w:rsidRDefault="005F3356" w:rsidP="005F3356">
      <w:pPr>
        <w:spacing w:line="312" w:lineRule="auto"/>
        <w:jc w:val="both"/>
        <w:rPr>
          <w:szCs w:val="20"/>
        </w:rPr>
      </w:pPr>
      <w:r w:rsidRPr="005F3356">
        <w:rPr>
          <w:szCs w:val="20"/>
        </w:rPr>
        <w:t xml:space="preserve">Hvis det lægges til grund, at </w:t>
      </w:r>
      <w:r>
        <w:rPr>
          <w:szCs w:val="20"/>
        </w:rPr>
        <w:t>kommunerne</w:t>
      </w:r>
      <w:r w:rsidRPr="005F3356">
        <w:rPr>
          <w:szCs w:val="20"/>
        </w:rPr>
        <w:t xml:space="preserve"> ikke har pligt til af egen drift at genoptage trufne</w:t>
      </w:r>
      <w:r>
        <w:rPr>
          <w:szCs w:val="20"/>
        </w:rPr>
        <w:t xml:space="preserve"> </w:t>
      </w:r>
      <w:r w:rsidRPr="005F3356">
        <w:rPr>
          <w:szCs w:val="20"/>
        </w:rPr>
        <w:t>a</w:t>
      </w:r>
      <w:r w:rsidRPr="005F3356">
        <w:rPr>
          <w:szCs w:val="20"/>
        </w:rPr>
        <w:t>f</w:t>
      </w:r>
      <w:r w:rsidRPr="005F3356">
        <w:rPr>
          <w:szCs w:val="20"/>
        </w:rPr>
        <w:t xml:space="preserve">gørelser, </w:t>
      </w:r>
      <w:r>
        <w:rPr>
          <w:szCs w:val="20"/>
        </w:rPr>
        <w:t xml:space="preserve">skal </w:t>
      </w:r>
      <w:r w:rsidR="000E0769">
        <w:rPr>
          <w:szCs w:val="20"/>
        </w:rPr>
        <w:t>kommunerne</w:t>
      </w:r>
      <w:r>
        <w:rPr>
          <w:szCs w:val="20"/>
        </w:rPr>
        <w:t xml:space="preserve"> på </w:t>
      </w:r>
      <w:r w:rsidR="000E0769">
        <w:rPr>
          <w:szCs w:val="20"/>
        </w:rPr>
        <w:t>deres</w:t>
      </w:r>
      <w:r>
        <w:rPr>
          <w:szCs w:val="20"/>
        </w:rPr>
        <w:t xml:space="preserve"> hjemmeside</w:t>
      </w:r>
      <w:r w:rsidR="000E0769">
        <w:rPr>
          <w:szCs w:val="20"/>
        </w:rPr>
        <w:t>r</w:t>
      </w:r>
      <w:r w:rsidR="00ED34E8">
        <w:rPr>
          <w:szCs w:val="20"/>
        </w:rPr>
        <w:t xml:space="preserve"> (i praksis vil det formentlig kunne ske ved offentliggørelse på borger.dk)</w:t>
      </w:r>
      <w:r>
        <w:rPr>
          <w:szCs w:val="20"/>
        </w:rPr>
        <w:t xml:space="preserve"> </w:t>
      </w:r>
      <w:r w:rsidRPr="005F3356">
        <w:rPr>
          <w:szCs w:val="20"/>
          <w:u w:val="single"/>
        </w:rPr>
        <w:t>og</w:t>
      </w:r>
      <w:r w:rsidRPr="005F3356">
        <w:rPr>
          <w:szCs w:val="20"/>
        </w:rPr>
        <w:t xml:space="preserve"> </w:t>
      </w:r>
      <w:r>
        <w:rPr>
          <w:szCs w:val="20"/>
        </w:rPr>
        <w:t xml:space="preserve">ved rimelig annoncering </w:t>
      </w:r>
      <w:r>
        <w:rPr>
          <w:szCs w:val="20"/>
        </w:rPr>
        <w:t xml:space="preserve">i et passende medie vejlede borgerne om retten til – efter anmodning </w:t>
      </w:r>
      <w:r>
        <w:rPr>
          <w:szCs w:val="20"/>
        </w:rPr>
        <w:t>–</w:t>
      </w:r>
      <w:r>
        <w:rPr>
          <w:szCs w:val="20"/>
        </w:rPr>
        <w:t xml:space="preserve"> at få genoptaget sager om lægevalg, hvor borgeren på grund af indretningen af systemet ikke fik mulighed for at beholde den hidtidige læge</w:t>
      </w:r>
      <w:r>
        <w:rPr>
          <w:szCs w:val="20"/>
        </w:rPr>
        <w:t xml:space="preserve">. </w:t>
      </w:r>
      <w:r w:rsidRPr="005F3356">
        <w:rPr>
          <w:szCs w:val="20"/>
        </w:rPr>
        <w:t>En mangelfuld annoncering kan udløse</w:t>
      </w:r>
      <w:r>
        <w:rPr>
          <w:szCs w:val="20"/>
        </w:rPr>
        <w:t xml:space="preserve"> </w:t>
      </w:r>
      <w:r w:rsidRPr="005F3356">
        <w:rPr>
          <w:szCs w:val="20"/>
        </w:rPr>
        <w:t>et ersta</w:t>
      </w:r>
      <w:r w:rsidRPr="005F3356">
        <w:rPr>
          <w:szCs w:val="20"/>
        </w:rPr>
        <w:t>t</w:t>
      </w:r>
      <w:r w:rsidRPr="005F3356">
        <w:rPr>
          <w:szCs w:val="20"/>
        </w:rPr>
        <w:t>ningsansvar, jf. UfR2006.960Ø</w:t>
      </w:r>
      <w:r>
        <w:rPr>
          <w:szCs w:val="20"/>
        </w:rPr>
        <w:t>.</w:t>
      </w:r>
    </w:p>
    <w:p w:rsidR="00ED34E8" w:rsidRDefault="00ED34E8" w:rsidP="005F3356">
      <w:pPr>
        <w:spacing w:line="312" w:lineRule="auto"/>
        <w:jc w:val="both"/>
        <w:rPr>
          <w:szCs w:val="20"/>
        </w:rPr>
      </w:pPr>
    </w:p>
    <w:p w:rsidR="007E52D3" w:rsidRDefault="007E52D3" w:rsidP="00EA2F67">
      <w:pPr>
        <w:spacing w:line="312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Ændring af information og proces på borger.dk m.v.</w:t>
      </w:r>
    </w:p>
    <w:p w:rsidR="007E52D3" w:rsidRDefault="007E52D3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 xml:space="preserve">Det fremgår af borger.dk, at en borger </w:t>
      </w:r>
      <w:r w:rsidR="00BC4D2C">
        <w:rPr>
          <w:szCs w:val="20"/>
        </w:rPr>
        <w:t>i</w:t>
      </w:r>
      <w:r w:rsidR="00BC4D2C" w:rsidRPr="00BC4D2C">
        <w:rPr>
          <w:szCs w:val="20"/>
        </w:rPr>
        <w:t xml:space="preserve"> forbindelse med en flytning udenfor 5/15 kilometer grænsen </w:t>
      </w:r>
      <w:r w:rsidR="00BC4D2C">
        <w:rPr>
          <w:szCs w:val="20"/>
        </w:rPr>
        <w:t>altid skal</w:t>
      </w:r>
      <w:r w:rsidR="00BC4D2C" w:rsidRPr="00BC4D2C">
        <w:rPr>
          <w:szCs w:val="20"/>
        </w:rPr>
        <w:t xml:space="preserve"> vælge læge på ny</w:t>
      </w:r>
      <w:r w:rsidR="00BC4D2C">
        <w:rPr>
          <w:szCs w:val="20"/>
        </w:rPr>
        <w:t xml:space="preserve">, og at det kun er muligt at </w:t>
      </w:r>
      <w:r w:rsidR="00BC4D2C" w:rsidRPr="00BC4D2C">
        <w:rPr>
          <w:szCs w:val="20"/>
        </w:rPr>
        <w:t xml:space="preserve">bevare </w:t>
      </w:r>
      <w:r w:rsidR="00BC4D2C">
        <w:rPr>
          <w:szCs w:val="20"/>
        </w:rPr>
        <w:t>den hidtidige</w:t>
      </w:r>
      <w:r w:rsidR="00BC4D2C" w:rsidRPr="00BC4D2C">
        <w:rPr>
          <w:szCs w:val="20"/>
        </w:rPr>
        <w:t xml:space="preserve"> l</w:t>
      </w:r>
      <w:r w:rsidR="00BC4D2C" w:rsidRPr="00BC4D2C">
        <w:rPr>
          <w:szCs w:val="20"/>
        </w:rPr>
        <w:t>æ</w:t>
      </w:r>
      <w:r w:rsidR="00BC4D2C" w:rsidRPr="00BC4D2C">
        <w:rPr>
          <w:szCs w:val="20"/>
        </w:rPr>
        <w:t xml:space="preserve">ge, hvis </w:t>
      </w:r>
      <w:r w:rsidR="00BC4D2C">
        <w:rPr>
          <w:szCs w:val="20"/>
        </w:rPr>
        <w:t>lægen h</w:t>
      </w:r>
      <w:r w:rsidR="00BC4D2C" w:rsidRPr="00BC4D2C">
        <w:rPr>
          <w:szCs w:val="20"/>
        </w:rPr>
        <w:t>ar åbent for tilgang af nye patienter.</w:t>
      </w:r>
      <w:r w:rsidR="00BC4D2C">
        <w:rPr>
          <w:szCs w:val="20"/>
        </w:rPr>
        <w:t xml:space="preserve"> Ved a</w:t>
      </w:r>
      <w:r>
        <w:rPr>
          <w:szCs w:val="20"/>
        </w:rPr>
        <w:t>nmeldelse af flytning via borger.dk er syst</w:t>
      </w:r>
      <w:r>
        <w:rPr>
          <w:szCs w:val="20"/>
        </w:rPr>
        <w:t>e</w:t>
      </w:r>
      <w:r>
        <w:rPr>
          <w:szCs w:val="20"/>
        </w:rPr>
        <w:t xml:space="preserve">met </w:t>
      </w:r>
      <w:r w:rsidR="00BC4D2C">
        <w:rPr>
          <w:szCs w:val="20"/>
        </w:rPr>
        <w:t xml:space="preserve">desuden </w:t>
      </w:r>
      <w:r>
        <w:rPr>
          <w:szCs w:val="20"/>
        </w:rPr>
        <w:t>pt. opsat sådan, at borgeren ikke kan gennemføre en flyttemelding uden samtidig at for</w:t>
      </w:r>
      <w:r>
        <w:rPr>
          <w:szCs w:val="20"/>
        </w:rPr>
        <w:t>e</w:t>
      </w:r>
      <w:r>
        <w:rPr>
          <w:szCs w:val="20"/>
        </w:rPr>
        <w:t>tage nyt lægevalg.</w:t>
      </w:r>
    </w:p>
    <w:p w:rsidR="007E52D3" w:rsidRDefault="007E52D3" w:rsidP="00EA2F67">
      <w:pPr>
        <w:spacing w:line="312" w:lineRule="auto"/>
        <w:jc w:val="both"/>
        <w:rPr>
          <w:szCs w:val="20"/>
        </w:rPr>
      </w:pPr>
    </w:p>
    <w:p w:rsidR="007E52D3" w:rsidRDefault="007E52D3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>Information på borger.dk og d</w:t>
      </w:r>
      <w:r w:rsidR="005F4E82">
        <w:rPr>
          <w:szCs w:val="20"/>
        </w:rPr>
        <w:t xml:space="preserve">en digitale </w:t>
      </w:r>
      <w:r>
        <w:rPr>
          <w:szCs w:val="20"/>
        </w:rPr>
        <w:t xml:space="preserve">løsning skal derfor tilpasses, </w:t>
      </w:r>
      <w:r w:rsidR="005F4E82">
        <w:rPr>
          <w:szCs w:val="20"/>
        </w:rPr>
        <w:t>så den er i overensste</w:t>
      </w:r>
      <w:r w:rsidR="005F4E82">
        <w:rPr>
          <w:szCs w:val="20"/>
        </w:rPr>
        <w:t>m</w:t>
      </w:r>
      <w:r w:rsidR="005F4E82">
        <w:rPr>
          <w:szCs w:val="20"/>
        </w:rPr>
        <w:t>melse med l</w:t>
      </w:r>
      <w:r w:rsidR="005F4E82">
        <w:rPr>
          <w:szCs w:val="20"/>
        </w:rPr>
        <w:t>o</w:t>
      </w:r>
      <w:r w:rsidR="005F4E82">
        <w:rPr>
          <w:szCs w:val="20"/>
        </w:rPr>
        <w:t>v</w:t>
      </w:r>
      <w:r>
        <w:rPr>
          <w:szCs w:val="20"/>
        </w:rPr>
        <w:t>givningen</w:t>
      </w:r>
      <w:r w:rsidR="005F4E82">
        <w:rPr>
          <w:szCs w:val="20"/>
        </w:rPr>
        <w:t>.</w:t>
      </w:r>
    </w:p>
    <w:p w:rsidR="007E52D3" w:rsidRDefault="007E52D3" w:rsidP="00EA2F67">
      <w:pPr>
        <w:spacing w:line="312" w:lineRule="auto"/>
        <w:jc w:val="both"/>
        <w:rPr>
          <w:szCs w:val="20"/>
        </w:rPr>
      </w:pPr>
    </w:p>
    <w:p w:rsidR="005F4E82" w:rsidRDefault="005F4E82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>De</w:t>
      </w:r>
      <w:r>
        <w:rPr>
          <w:szCs w:val="20"/>
        </w:rPr>
        <w:t>t</w:t>
      </w:r>
      <w:r>
        <w:rPr>
          <w:szCs w:val="20"/>
        </w:rPr>
        <w:t>te medfører, at:</w:t>
      </w:r>
    </w:p>
    <w:p w:rsidR="005F4E82" w:rsidRDefault="005F4E82" w:rsidP="005F4E82">
      <w:pPr>
        <w:numPr>
          <w:ilvl w:val="0"/>
          <w:numId w:val="1"/>
        </w:numPr>
        <w:spacing w:line="312" w:lineRule="auto"/>
        <w:jc w:val="both"/>
        <w:rPr>
          <w:szCs w:val="20"/>
        </w:rPr>
      </w:pPr>
      <w:r>
        <w:rPr>
          <w:szCs w:val="20"/>
        </w:rPr>
        <w:t>Borgere der flytter inden for samme kommune, men uden for km-grænsen, skal kunne bibeholde hidtidig læge, hvis det accepteres ikke at modtage sygebesøg.</w:t>
      </w:r>
    </w:p>
    <w:p w:rsidR="005F4E82" w:rsidRDefault="005F4E82" w:rsidP="005F4E82">
      <w:pPr>
        <w:numPr>
          <w:ilvl w:val="0"/>
          <w:numId w:val="1"/>
        </w:numPr>
        <w:spacing w:line="312" w:lineRule="auto"/>
        <w:jc w:val="both"/>
        <w:rPr>
          <w:szCs w:val="20"/>
        </w:rPr>
      </w:pPr>
      <w:r>
        <w:rPr>
          <w:szCs w:val="20"/>
        </w:rPr>
        <w:t xml:space="preserve">Borgere der flytter uden for kommunen, kan alene bibeholde hidtidig læge, hvis borgeren opfylder betingelserne for nyt lægevalg til lægen. </w:t>
      </w:r>
    </w:p>
    <w:p w:rsidR="005F4E82" w:rsidRDefault="005F4E82" w:rsidP="00EA2F67">
      <w:pPr>
        <w:spacing w:line="312" w:lineRule="auto"/>
        <w:jc w:val="both"/>
        <w:rPr>
          <w:szCs w:val="20"/>
        </w:rPr>
      </w:pPr>
    </w:p>
    <w:p w:rsidR="005F4E82" w:rsidRPr="005F4E82" w:rsidRDefault="005F4E82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 xml:space="preserve">Herudover </w:t>
      </w:r>
      <w:r w:rsidR="00ED34E8">
        <w:rPr>
          <w:szCs w:val="20"/>
        </w:rPr>
        <w:t xml:space="preserve">skal </w:t>
      </w:r>
      <w:r w:rsidR="0085113E">
        <w:rPr>
          <w:szCs w:val="20"/>
        </w:rPr>
        <w:t>øvrig generel information, herunder på</w:t>
      </w:r>
      <w:r w:rsidR="00AB2A47">
        <w:rPr>
          <w:szCs w:val="20"/>
        </w:rPr>
        <w:t xml:space="preserve"> sundhed.dk</w:t>
      </w:r>
      <w:r w:rsidR="0085113E">
        <w:rPr>
          <w:szCs w:val="20"/>
        </w:rPr>
        <w:t>, ligeledes</w:t>
      </w:r>
      <w:r w:rsidR="00AB2A47">
        <w:rPr>
          <w:szCs w:val="20"/>
        </w:rPr>
        <w:t xml:space="preserve"> opdateres, så den</w:t>
      </w:r>
      <w:r>
        <w:rPr>
          <w:szCs w:val="20"/>
        </w:rPr>
        <w:t xml:space="preserve"> er i overensstemmelse med </w:t>
      </w:r>
      <w:r w:rsidR="0085113E">
        <w:rPr>
          <w:szCs w:val="20"/>
        </w:rPr>
        <w:t>lovgivningen</w:t>
      </w:r>
      <w:r>
        <w:rPr>
          <w:szCs w:val="20"/>
        </w:rPr>
        <w:t>.</w:t>
      </w:r>
    </w:p>
    <w:p w:rsidR="00CD0E34" w:rsidRDefault="00CD0E34" w:rsidP="00EA2F67">
      <w:pPr>
        <w:spacing w:line="312" w:lineRule="auto"/>
        <w:jc w:val="both"/>
        <w:rPr>
          <w:szCs w:val="20"/>
        </w:rPr>
      </w:pPr>
    </w:p>
    <w:p w:rsidR="00CD0E34" w:rsidRDefault="005F4E82" w:rsidP="00EA2F67">
      <w:pPr>
        <w:spacing w:line="312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Kontakt til myndigheder</w:t>
      </w:r>
    </w:p>
    <w:p w:rsidR="00ED34E8" w:rsidRPr="005F4E82" w:rsidRDefault="00AB2A47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 xml:space="preserve">Der </w:t>
      </w:r>
      <w:r w:rsidR="00ED34E8">
        <w:rPr>
          <w:szCs w:val="20"/>
        </w:rPr>
        <w:t>bør</w:t>
      </w:r>
      <w:r>
        <w:rPr>
          <w:szCs w:val="20"/>
        </w:rPr>
        <w:t xml:space="preserve"> tages kontakt til KL og Danske Regioner</w:t>
      </w:r>
      <w:r w:rsidR="00916459">
        <w:rPr>
          <w:szCs w:val="20"/>
        </w:rPr>
        <w:t>,</w:t>
      </w:r>
      <w:r>
        <w:rPr>
          <w:szCs w:val="20"/>
        </w:rPr>
        <w:t xml:space="preserve"> således at de involveres i processen og kan ve</w:t>
      </w:r>
      <w:r>
        <w:rPr>
          <w:szCs w:val="20"/>
        </w:rPr>
        <w:t>j</w:t>
      </w:r>
      <w:r>
        <w:rPr>
          <w:szCs w:val="20"/>
        </w:rPr>
        <w:t>lede kommunerne</w:t>
      </w:r>
      <w:r w:rsidR="00916459">
        <w:rPr>
          <w:szCs w:val="20"/>
        </w:rPr>
        <w:t>,</w:t>
      </w:r>
      <w:r>
        <w:rPr>
          <w:szCs w:val="20"/>
        </w:rPr>
        <w:t xml:space="preserve"> når afgørelserne træffes. </w:t>
      </w:r>
    </w:p>
    <w:p w:rsidR="00ED34E8" w:rsidRDefault="00ED34E8" w:rsidP="00EA2F67">
      <w:pPr>
        <w:spacing w:line="312" w:lineRule="auto"/>
        <w:jc w:val="both"/>
        <w:rPr>
          <w:szCs w:val="20"/>
        </w:rPr>
      </w:pPr>
    </w:p>
    <w:p w:rsidR="00ED34E8" w:rsidRPr="00ED34E8" w:rsidRDefault="00ED34E8" w:rsidP="00EA2F67">
      <w:pPr>
        <w:spacing w:line="312" w:lineRule="auto"/>
        <w:jc w:val="both"/>
        <w:rPr>
          <w:szCs w:val="20"/>
          <w:u w:val="single"/>
        </w:rPr>
      </w:pPr>
      <w:r w:rsidRPr="00ED34E8">
        <w:rPr>
          <w:szCs w:val="20"/>
          <w:u w:val="single"/>
        </w:rPr>
        <w:t>Omtale på styrelsens hjemmeside</w:t>
      </w:r>
    </w:p>
    <w:p w:rsidR="00ED34E8" w:rsidRDefault="00ED34E8" w:rsidP="00EA2F67">
      <w:pPr>
        <w:spacing w:line="312" w:lineRule="auto"/>
        <w:jc w:val="both"/>
        <w:rPr>
          <w:szCs w:val="20"/>
        </w:rPr>
      </w:pPr>
      <w:r>
        <w:rPr>
          <w:szCs w:val="20"/>
        </w:rPr>
        <w:t>Styrelsen agter at omtale styrelsens principielle afgørelser som en nyhed på styrelsens hjemm</w:t>
      </w:r>
      <w:r>
        <w:rPr>
          <w:szCs w:val="20"/>
        </w:rPr>
        <w:t>e</w:t>
      </w:r>
      <w:r>
        <w:rPr>
          <w:szCs w:val="20"/>
        </w:rPr>
        <w:t>side.</w:t>
      </w:r>
      <w:r w:rsidRPr="00ED34E8">
        <w:rPr>
          <w:szCs w:val="20"/>
        </w:rPr>
        <w:t xml:space="preserve"> </w:t>
      </w:r>
      <w:r>
        <w:rPr>
          <w:szCs w:val="20"/>
        </w:rPr>
        <w:t xml:space="preserve">Der </w:t>
      </w:r>
      <w:r>
        <w:rPr>
          <w:szCs w:val="20"/>
        </w:rPr>
        <w:t>kan med fordel</w:t>
      </w:r>
      <w:r>
        <w:rPr>
          <w:szCs w:val="20"/>
        </w:rPr>
        <w:t xml:space="preserve"> ske</w:t>
      </w:r>
      <w:r>
        <w:rPr>
          <w:szCs w:val="20"/>
        </w:rPr>
        <w:t xml:space="preserve"> en</w:t>
      </w:r>
      <w:r>
        <w:rPr>
          <w:szCs w:val="20"/>
        </w:rPr>
        <w:t xml:space="preserve"> koordination af </w:t>
      </w:r>
      <w:r>
        <w:rPr>
          <w:szCs w:val="20"/>
        </w:rPr>
        <w:t xml:space="preserve">tidspunktet for og evt. indholdet af </w:t>
      </w:r>
      <w:r>
        <w:rPr>
          <w:szCs w:val="20"/>
        </w:rPr>
        <w:t xml:space="preserve">information om sagerne på </w:t>
      </w:r>
      <w:r>
        <w:rPr>
          <w:szCs w:val="20"/>
        </w:rPr>
        <w:t xml:space="preserve">henholdsvis </w:t>
      </w:r>
      <w:r>
        <w:rPr>
          <w:szCs w:val="20"/>
        </w:rPr>
        <w:t>st</w:t>
      </w:r>
      <w:r>
        <w:rPr>
          <w:szCs w:val="20"/>
        </w:rPr>
        <w:t>y</w:t>
      </w:r>
      <w:r>
        <w:rPr>
          <w:szCs w:val="20"/>
        </w:rPr>
        <w:t>relsens hjemmeside</w:t>
      </w:r>
      <w:r>
        <w:rPr>
          <w:szCs w:val="20"/>
        </w:rPr>
        <w:t xml:space="preserve"> med den offentliggørelse, der skal ske på borger.dk m.v</w:t>
      </w:r>
      <w:r>
        <w:rPr>
          <w:szCs w:val="20"/>
        </w:rPr>
        <w:t>.</w:t>
      </w:r>
    </w:p>
    <w:p w:rsidR="00CD0E34" w:rsidRPr="00FC7F28" w:rsidRDefault="00CD0E34" w:rsidP="00EA2F67">
      <w:pPr>
        <w:pStyle w:val="Overskrift1"/>
        <w:spacing w:line="312" w:lineRule="auto"/>
        <w:jc w:val="both"/>
        <w:rPr>
          <w:rFonts w:ascii="Verdana" w:hAnsi="Verdana"/>
          <w:b w:val="0"/>
          <w:sz w:val="20"/>
        </w:rPr>
      </w:pPr>
      <w:r w:rsidRPr="004C526C">
        <w:rPr>
          <w:rFonts w:ascii="Verdana" w:hAnsi="Verdana"/>
          <w:color w:val="auto"/>
          <w:sz w:val="20"/>
        </w:rPr>
        <w:t>Dato:</w:t>
      </w:r>
      <w:r w:rsidRPr="004C526C">
        <w:rPr>
          <w:rFonts w:ascii="Verdana" w:hAnsi="Verdana"/>
          <w:b w:val="0"/>
          <w:color w:val="auto"/>
          <w:sz w:val="20"/>
        </w:rPr>
        <w:t xml:space="preserve"> </w:t>
      </w:r>
      <w:r w:rsidR="00657D03">
        <w:rPr>
          <w:rFonts w:ascii="Verdana" w:hAnsi="Verdana"/>
          <w:b w:val="0"/>
          <w:color w:val="auto"/>
          <w:sz w:val="20"/>
        </w:rPr>
        <w:t>07</w:t>
      </w:r>
      <w:r w:rsidR="00E40F3B">
        <w:rPr>
          <w:rFonts w:ascii="Verdana" w:hAnsi="Verdana"/>
          <w:b w:val="0"/>
          <w:color w:val="auto"/>
          <w:sz w:val="20"/>
        </w:rPr>
        <w:t>-12-2016</w:t>
      </w:r>
      <w:r w:rsidRPr="004C526C">
        <w:rPr>
          <w:rFonts w:ascii="Verdana" w:hAnsi="Verdana"/>
          <w:b w:val="0"/>
          <w:color w:val="auto"/>
          <w:sz w:val="20"/>
        </w:rPr>
        <w:tab/>
        <w:t xml:space="preserve">   </w:t>
      </w:r>
      <w:r w:rsidRPr="004C526C">
        <w:rPr>
          <w:rFonts w:ascii="Verdana" w:hAnsi="Verdana"/>
          <w:color w:val="auto"/>
          <w:sz w:val="20"/>
        </w:rPr>
        <w:t xml:space="preserve">Sagsbehandler: </w:t>
      </w:r>
      <w:r w:rsidR="00E40F3B">
        <w:rPr>
          <w:rFonts w:ascii="Verdana" w:hAnsi="Verdana"/>
          <w:b w:val="0"/>
          <w:color w:val="auto"/>
          <w:sz w:val="20"/>
        </w:rPr>
        <w:t>Jakob Frausing</w:t>
      </w:r>
    </w:p>
    <w:p w:rsidR="00CD0E34" w:rsidRPr="00CD0E34" w:rsidRDefault="00CD0E34">
      <w:pPr>
        <w:rPr>
          <w:szCs w:val="20"/>
        </w:rPr>
      </w:pPr>
    </w:p>
    <w:sectPr w:rsidR="00CD0E34" w:rsidRPr="00CD0E34" w:rsidSect="007A43A9">
      <w:headerReference w:type="default" r:id="rId10"/>
      <w:headerReference w:type="first" r:id="rId11"/>
      <w:pgSz w:w="11906" w:h="16838"/>
      <w:pgMar w:top="1701" w:right="851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50" w:rsidRDefault="00BB5750">
      <w:r>
        <w:separator/>
      </w:r>
    </w:p>
  </w:endnote>
  <w:endnote w:type="continuationSeparator" w:id="0">
    <w:p w:rsidR="00BB5750" w:rsidRDefault="00BB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50" w:rsidRDefault="00BB5750">
      <w:r>
        <w:separator/>
      </w:r>
    </w:p>
  </w:footnote>
  <w:footnote w:type="continuationSeparator" w:id="0">
    <w:p w:rsidR="00BB5750" w:rsidRDefault="00BB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50" w:rsidRPr="0015603B" w:rsidRDefault="00B73D20" w:rsidP="00B73D20">
    <w:pPr>
      <w:pStyle w:val="Sidehoved"/>
      <w:tabs>
        <w:tab w:val="clear" w:pos="4819"/>
        <w:tab w:val="clear" w:pos="9638"/>
        <w:tab w:val="center" w:pos="5193"/>
      </w:tabs>
      <w:rPr>
        <w:sz w:val="30"/>
        <w:szCs w:val="3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6D" w:rsidRPr="00735F0C" w:rsidRDefault="00BB5750" w:rsidP="007A43A9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Logo 1,52 x 4,09 cm til lokale skabeloner" style="width:112.3pt;height:42.05pt;visibility:visible;mso-wrap-style:square">
          <v:imagedata r:id="rId1" o:title="Logo 1,52 x 4,09 cm til lokale skabelon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BFE"/>
    <w:multiLevelType w:val="hybridMultilevel"/>
    <w:tmpl w:val="C2828E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47356"/>
    <w:multiLevelType w:val="hybridMultilevel"/>
    <w:tmpl w:val="03BE10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159B"/>
    <w:multiLevelType w:val="hybridMultilevel"/>
    <w:tmpl w:val="FD007060"/>
    <w:lvl w:ilvl="0" w:tplc="68F88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A2EE3"/>
    <w:multiLevelType w:val="hybridMultilevel"/>
    <w:tmpl w:val="F4924D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31405"/>
    <w:multiLevelType w:val="hybridMultilevel"/>
    <w:tmpl w:val="1292B0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E1C8E"/>
    <w:multiLevelType w:val="hybridMultilevel"/>
    <w:tmpl w:val="0D4681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C2BB7"/>
    <w:multiLevelType w:val="hybridMultilevel"/>
    <w:tmpl w:val="5212DD3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aveInTemplateCenterEnabled" w:val="False"/>
  </w:docVars>
  <w:rsids>
    <w:rsidRoot w:val="00831E57"/>
    <w:rsid w:val="0000223D"/>
    <w:rsid w:val="0009201D"/>
    <w:rsid w:val="000B2B6D"/>
    <w:rsid w:val="000E0769"/>
    <w:rsid w:val="000F4DA3"/>
    <w:rsid w:val="000F5E49"/>
    <w:rsid w:val="00101C8A"/>
    <w:rsid w:val="00121066"/>
    <w:rsid w:val="0015603B"/>
    <w:rsid w:val="00185A40"/>
    <w:rsid w:val="001C0448"/>
    <w:rsid w:val="001C2FA8"/>
    <w:rsid w:val="001C7D50"/>
    <w:rsid w:val="00205167"/>
    <w:rsid w:val="00250D22"/>
    <w:rsid w:val="00277A5E"/>
    <w:rsid w:val="00281D56"/>
    <w:rsid w:val="00290919"/>
    <w:rsid w:val="002C2ACD"/>
    <w:rsid w:val="002D5518"/>
    <w:rsid w:val="002D696E"/>
    <w:rsid w:val="002D7B93"/>
    <w:rsid w:val="002E77B3"/>
    <w:rsid w:val="00370F01"/>
    <w:rsid w:val="003C5B12"/>
    <w:rsid w:val="00403C45"/>
    <w:rsid w:val="00403E6B"/>
    <w:rsid w:val="00406376"/>
    <w:rsid w:val="00437C4B"/>
    <w:rsid w:val="00470A36"/>
    <w:rsid w:val="00475F1D"/>
    <w:rsid w:val="00476A36"/>
    <w:rsid w:val="00481489"/>
    <w:rsid w:val="004B59AE"/>
    <w:rsid w:val="004D55DF"/>
    <w:rsid w:val="004D727D"/>
    <w:rsid w:val="004E70A1"/>
    <w:rsid w:val="00522225"/>
    <w:rsid w:val="00593247"/>
    <w:rsid w:val="005951B3"/>
    <w:rsid w:val="005C65CF"/>
    <w:rsid w:val="005E1AC6"/>
    <w:rsid w:val="005E4346"/>
    <w:rsid w:val="005F3356"/>
    <w:rsid w:val="005F4E82"/>
    <w:rsid w:val="00604B20"/>
    <w:rsid w:val="006319AA"/>
    <w:rsid w:val="0064066E"/>
    <w:rsid w:val="00657D03"/>
    <w:rsid w:val="00672E4D"/>
    <w:rsid w:val="00673DEC"/>
    <w:rsid w:val="00677384"/>
    <w:rsid w:val="00691B83"/>
    <w:rsid w:val="006B2415"/>
    <w:rsid w:val="006C4BEE"/>
    <w:rsid w:val="006D2D5F"/>
    <w:rsid w:val="006D76E8"/>
    <w:rsid w:val="006F260D"/>
    <w:rsid w:val="00705B5E"/>
    <w:rsid w:val="00735F0C"/>
    <w:rsid w:val="00740CC0"/>
    <w:rsid w:val="00745CC1"/>
    <w:rsid w:val="0078656E"/>
    <w:rsid w:val="007A43A9"/>
    <w:rsid w:val="007C53F2"/>
    <w:rsid w:val="007E52D3"/>
    <w:rsid w:val="007E6DA5"/>
    <w:rsid w:val="007E6FD9"/>
    <w:rsid w:val="00831E57"/>
    <w:rsid w:val="00845190"/>
    <w:rsid w:val="0085113E"/>
    <w:rsid w:val="00872BFE"/>
    <w:rsid w:val="00881B50"/>
    <w:rsid w:val="008C5902"/>
    <w:rsid w:val="008F421D"/>
    <w:rsid w:val="00902D00"/>
    <w:rsid w:val="00916459"/>
    <w:rsid w:val="00967739"/>
    <w:rsid w:val="009B00C2"/>
    <w:rsid w:val="009B1AF1"/>
    <w:rsid w:val="00A059CA"/>
    <w:rsid w:val="00A12AD0"/>
    <w:rsid w:val="00A32648"/>
    <w:rsid w:val="00A37B3C"/>
    <w:rsid w:val="00AB2A47"/>
    <w:rsid w:val="00AB69D1"/>
    <w:rsid w:val="00AC77F9"/>
    <w:rsid w:val="00AF7145"/>
    <w:rsid w:val="00B25C8B"/>
    <w:rsid w:val="00B25CA8"/>
    <w:rsid w:val="00B32D8E"/>
    <w:rsid w:val="00B618F5"/>
    <w:rsid w:val="00B72FF9"/>
    <w:rsid w:val="00B73D20"/>
    <w:rsid w:val="00BA1E46"/>
    <w:rsid w:val="00BA5C47"/>
    <w:rsid w:val="00BB134F"/>
    <w:rsid w:val="00BB5750"/>
    <w:rsid w:val="00BC4D2C"/>
    <w:rsid w:val="00BF0755"/>
    <w:rsid w:val="00C61C7F"/>
    <w:rsid w:val="00C7241B"/>
    <w:rsid w:val="00CB35E9"/>
    <w:rsid w:val="00CB4A25"/>
    <w:rsid w:val="00CB53B4"/>
    <w:rsid w:val="00CD0E34"/>
    <w:rsid w:val="00CD1625"/>
    <w:rsid w:val="00CF22D8"/>
    <w:rsid w:val="00D01941"/>
    <w:rsid w:val="00D0465E"/>
    <w:rsid w:val="00D34026"/>
    <w:rsid w:val="00D4300C"/>
    <w:rsid w:val="00D4308A"/>
    <w:rsid w:val="00D6632A"/>
    <w:rsid w:val="00DC36EF"/>
    <w:rsid w:val="00DC7218"/>
    <w:rsid w:val="00E12855"/>
    <w:rsid w:val="00E312E1"/>
    <w:rsid w:val="00E33464"/>
    <w:rsid w:val="00E40028"/>
    <w:rsid w:val="00E40F3B"/>
    <w:rsid w:val="00E50907"/>
    <w:rsid w:val="00E829EA"/>
    <w:rsid w:val="00E84B76"/>
    <w:rsid w:val="00E966F3"/>
    <w:rsid w:val="00EA2F67"/>
    <w:rsid w:val="00EB51E2"/>
    <w:rsid w:val="00EB7F38"/>
    <w:rsid w:val="00EC301D"/>
    <w:rsid w:val="00EC322C"/>
    <w:rsid w:val="00EC4642"/>
    <w:rsid w:val="00EC531D"/>
    <w:rsid w:val="00EC5A55"/>
    <w:rsid w:val="00ED34E8"/>
    <w:rsid w:val="00EF4A90"/>
    <w:rsid w:val="00F1083C"/>
    <w:rsid w:val="00F2619D"/>
    <w:rsid w:val="00FA68DB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B3C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D0E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12AD0"/>
    <w:rPr>
      <w:color w:val="0000FF"/>
      <w:u w:val="single"/>
    </w:rPr>
  </w:style>
  <w:style w:type="character" w:styleId="BesgtHyperlink">
    <w:name w:val="FollowedHyperlink"/>
    <w:rsid w:val="00A12AD0"/>
    <w:rPr>
      <w:color w:val="800080"/>
      <w:u w:val="single"/>
    </w:rPr>
  </w:style>
  <w:style w:type="paragraph" w:styleId="Markeringsbobletekst">
    <w:name w:val="Balloon Text"/>
    <w:basedOn w:val="Normal"/>
    <w:semiHidden/>
    <w:rsid w:val="00A12A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1C7D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C7D50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link w:val="Overskrift1"/>
    <w:rsid w:val="00CD0E3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@patientombudde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ps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C02C4B8E</Template>
  <TotalTime>111</TotalTime>
  <Pages>1</Pages>
  <Words>901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Patientombuddet</vt:lpstr>
    </vt:vector>
  </TitlesOfParts>
  <Company>Patientskadeaneknµvnet</Company>
  <LinksUpToDate>false</LinksUpToDate>
  <CharactersWithSpaces>6392</CharactersWithSpaces>
  <SharedDoc>false</SharedDoc>
  <HLinks>
    <vt:vector size="18" baseType="variant"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http://www.patientombuddet.dk/</vt:lpwstr>
      </vt:variant>
      <vt:variant>
        <vt:lpwstr/>
      </vt:variant>
      <vt:variant>
        <vt:i4>589857</vt:i4>
      </vt:variant>
      <vt:variant>
        <vt:i4>3</vt:i4>
      </vt:variant>
      <vt:variant>
        <vt:i4>0</vt:i4>
      </vt:variant>
      <vt:variant>
        <vt:i4>5</vt:i4>
      </vt:variant>
      <vt:variant>
        <vt:lpwstr>mailto:pob@patientombuddet.dk</vt:lpwstr>
      </vt:variant>
      <vt:variant>
        <vt:lpwstr/>
      </vt:variant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mailto:lo@patientombuddet.dk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Patientombuddet</dc:title>
  <dc:creator>Jakob Frausing</dc:creator>
  <cp:lastModifiedBy>Helle Borg Larsen</cp:lastModifiedBy>
  <cp:revision>29</cp:revision>
  <cp:lastPrinted>2012-02-08T08:00:00Z</cp:lastPrinted>
  <dcterms:created xsi:type="dcterms:W3CDTF">2016-12-06T11:40:00Z</dcterms:created>
  <dcterms:modified xsi:type="dcterms:W3CDTF">2016-12-07T11:11:00Z</dcterms:modified>
</cp:coreProperties>
</file>